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FEF40" w14:textId="77777777" w:rsidR="00001015" w:rsidRDefault="003002C3">
      <w:pPr>
        <w:rPr>
          <w:rFonts w:ascii="Arial" w:hAnsi="Arial" w:cs="Arial"/>
          <w:sz w:val="24"/>
          <w:szCs w:val="24"/>
        </w:rPr>
      </w:pPr>
      <w:r>
        <w:rPr>
          <w:rFonts w:ascii="Arial" w:hAnsi="Arial" w:cs="Arial"/>
          <w:sz w:val="24"/>
          <w:szCs w:val="24"/>
        </w:rPr>
        <w:t xml:space="preserve">Briefkopf </w:t>
      </w:r>
      <w:r w:rsidR="00CE225F">
        <w:rPr>
          <w:rFonts w:ascii="Arial" w:hAnsi="Arial" w:cs="Arial"/>
          <w:sz w:val="24"/>
          <w:szCs w:val="24"/>
        </w:rPr>
        <w:t xml:space="preserve">der </w:t>
      </w:r>
      <w:r>
        <w:rPr>
          <w:rFonts w:ascii="Arial" w:hAnsi="Arial" w:cs="Arial"/>
          <w:sz w:val="24"/>
          <w:szCs w:val="24"/>
        </w:rPr>
        <w:t>Schule</w:t>
      </w:r>
    </w:p>
    <w:p w14:paraId="7E0A20B8" w14:textId="77777777" w:rsidR="003002C3" w:rsidRPr="003002C3" w:rsidRDefault="003002C3">
      <w:pPr>
        <w:rPr>
          <w:rFonts w:ascii="Arial" w:hAnsi="Arial" w:cs="Arial"/>
          <w:sz w:val="24"/>
          <w:szCs w:val="24"/>
        </w:rPr>
      </w:pPr>
    </w:p>
    <w:p w14:paraId="65963511" w14:textId="77777777" w:rsidR="003002C3" w:rsidRDefault="003002C3">
      <w:pPr>
        <w:rPr>
          <w:rFonts w:ascii="Times New Roman" w:hAnsi="Times New Roman" w:cs="Times New Roman"/>
          <w:sz w:val="24"/>
          <w:szCs w:val="24"/>
        </w:rPr>
      </w:pPr>
    </w:p>
    <w:p w14:paraId="4E7EC1B0" w14:textId="77777777" w:rsidR="003A466B" w:rsidRPr="003A466B" w:rsidRDefault="003A466B" w:rsidP="003A466B">
      <w:pPr>
        <w:jc w:val="center"/>
        <w:rPr>
          <w:rFonts w:ascii="Arial" w:hAnsi="Arial" w:cs="Arial"/>
          <w:b/>
          <w:sz w:val="24"/>
          <w:szCs w:val="24"/>
        </w:rPr>
      </w:pPr>
      <w:r w:rsidRPr="003A466B">
        <w:rPr>
          <w:rFonts w:ascii="Arial" w:hAnsi="Arial" w:cs="Arial"/>
          <w:b/>
          <w:sz w:val="24"/>
          <w:szCs w:val="24"/>
        </w:rPr>
        <w:t xml:space="preserve">Ehrenamtliche </w:t>
      </w:r>
      <w:proofErr w:type="spellStart"/>
      <w:proofErr w:type="gramStart"/>
      <w:r w:rsidRPr="003A466B">
        <w:rPr>
          <w:rFonts w:ascii="Arial" w:hAnsi="Arial" w:cs="Arial"/>
          <w:b/>
          <w:sz w:val="24"/>
          <w:szCs w:val="24"/>
        </w:rPr>
        <w:t>Testhelfer</w:t>
      </w:r>
      <w:r w:rsidR="00CB1F26">
        <w:rPr>
          <w:rFonts w:ascii="Arial" w:hAnsi="Arial" w:cs="Arial"/>
          <w:b/>
          <w:sz w:val="24"/>
          <w:szCs w:val="24"/>
        </w:rPr>
        <w:t>:i</w:t>
      </w:r>
      <w:r w:rsidRPr="003A466B">
        <w:rPr>
          <w:rFonts w:ascii="Arial" w:hAnsi="Arial" w:cs="Arial"/>
          <w:b/>
          <w:sz w:val="24"/>
          <w:szCs w:val="24"/>
        </w:rPr>
        <w:t>nnen</w:t>
      </w:r>
      <w:proofErr w:type="spellEnd"/>
      <w:proofErr w:type="gramEnd"/>
      <w:r w:rsidRPr="003A466B">
        <w:rPr>
          <w:rFonts w:ascii="Arial" w:hAnsi="Arial" w:cs="Arial"/>
          <w:b/>
          <w:sz w:val="24"/>
          <w:szCs w:val="24"/>
        </w:rPr>
        <w:t xml:space="preserve"> an Schule</w:t>
      </w:r>
    </w:p>
    <w:p w14:paraId="6FD96815" w14:textId="77777777" w:rsidR="003A466B" w:rsidRPr="005C22CF" w:rsidRDefault="003A466B">
      <w:pPr>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4524"/>
        <w:gridCol w:w="1992"/>
        <w:gridCol w:w="2546"/>
      </w:tblGrid>
      <w:tr w:rsidR="00457981" w:rsidRPr="00F13662" w14:paraId="30770F4C" w14:textId="77777777" w:rsidTr="00DE1ED6">
        <w:tc>
          <w:tcPr>
            <w:tcW w:w="4524" w:type="dxa"/>
          </w:tcPr>
          <w:p w14:paraId="027AE418" w14:textId="77777777" w:rsidR="00457981" w:rsidRDefault="00457981">
            <w:pPr>
              <w:rPr>
                <w:rFonts w:ascii="Arial" w:hAnsi="Arial" w:cs="Arial"/>
              </w:rPr>
            </w:pPr>
            <w:r w:rsidRPr="00F13662">
              <w:rPr>
                <w:rFonts w:ascii="Arial" w:hAnsi="Arial" w:cs="Arial"/>
              </w:rPr>
              <w:t>Name:</w:t>
            </w:r>
          </w:p>
          <w:p w14:paraId="3F8D26F0" w14:textId="77777777" w:rsidR="003A466B" w:rsidRPr="00F13662" w:rsidRDefault="003A466B">
            <w:pPr>
              <w:rPr>
                <w:rFonts w:ascii="Arial" w:hAnsi="Arial" w:cs="Arial"/>
              </w:rPr>
            </w:pPr>
          </w:p>
        </w:tc>
        <w:tc>
          <w:tcPr>
            <w:tcW w:w="4538" w:type="dxa"/>
            <w:gridSpan w:val="2"/>
          </w:tcPr>
          <w:p w14:paraId="251BA433" w14:textId="77777777" w:rsidR="00457981" w:rsidRPr="00F13662" w:rsidRDefault="00457981">
            <w:pPr>
              <w:rPr>
                <w:rFonts w:ascii="Arial" w:hAnsi="Arial" w:cs="Arial"/>
              </w:rPr>
            </w:pPr>
            <w:r w:rsidRPr="00F13662">
              <w:rPr>
                <w:rFonts w:ascii="Arial" w:hAnsi="Arial" w:cs="Arial"/>
              </w:rPr>
              <w:t>Vorname:</w:t>
            </w:r>
          </w:p>
        </w:tc>
      </w:tr>
      <w:tr w:rsidR="00DE1ED6" w:rsidRPr="00F13662" w14:paraId="6E9846DD" w14:textId="77777777" w:rsidTr="00B64713">
        <w:tc>
          <w:tcPr>
            <w:tcW w:w="4524" w:type="dxa"/>
          </w:tcPr>
          <w:p w14:paraId="6292971F" w14:textId="77777777" w:rsidR="00DE1ED6" w:rsidRDefault="00DE1ED6">
            <w:pPr>
              <w:rPr>
                <w:rFonts w:ascii="Arial" w:hAnsi="Arial" w:cs="Arial"/>
              </w:rPr>
            </w:pPr>
            <w:r w:rsidRPr="00F13662">
              <w:rPr>
                <w:rFonts w:ascii="Arial" w:hAnsi="Arial" w:cs="Arial"/>
              </w:rPr>
              <w:t>Adresse:</w:t>
            </w:r>
          </w:p>
          <w:p w14:paraId="2CBC692A" w14:textId="77777777" w:rsidR="00DE1ED6" w:rsidRPr="00F13662" w:rsidRDefault="00DE1ED6">
            <w:pPr>
              <w:rPr>
                <w:rFonts w:ascii="Arial" w:hAnsi="Arial" w:cs="Arial"/>
              </w:rPr>
            </w:pPr>
          </w:p>
        </w:tc>
        <w:tc>
          <w:tcPr>
            <w:tcW w:w="1992" w:type="dxa"/>
          </w:tcPr>
          <w:p w14:paraId="531B2F1F" w14:textId="77777777" w:rsidR="00DE1ED6" w:rsidRPr="00F13662" w:rsidRDefault="00DE1ED6">
            <w:pPr>
              <w:rPr>
                <w:rFonts w:ascii="Arial" w:hAnsi="Arial" w:cs="Arial"/>
              </w:rPr>
            </w:pPr>
            <w:r w:rsidRPr="00F13662">
              <w:rPr>
                <w:rFonts w:ascii="Arial" w:hAnsi="Arial" w:cs="Arial"/>
              </w:rPr>
              <w:t>Geburtsdatum:</w:t>
            </w:r>
          </w:p>
        </w:tc>
        <w:tc>
          <w:tcPr>
            <w:tcW w:w="2546" w:type="dxa"/>
          </w:tcPr>
          <w:p w14:paraId="54EBA14F" w14:textId="77777777" w:rsidR="00DE1ED6" w:rsidRPr="00F13662" w:rsidRDefault="00DE1ED6">
            <w:pPr>
              <w:rPr>
                <w:rFonts w:ascii="Arial" w:hAnsi="Arial" w:cs="Arial"/>
              </w:rPr>
            </w:pPr>
            <w:r>
              <w:rPr>
                <w:rFonts w:ascii="Arial" w:hAnsi="Arial" w:cs="Arial"/>
              </w:rPr>
              <w:t>Telefon:</w:t>
            </w:r>
          </w:p>
        </w:tc>
      </w:tr>
    </w:tbl>
    <w:p w14:paraId="62E36D17" w14:textId="77777777" w:rsidR="005C22CF" w:rsidRPr="00F13662" w:rsidRDefault="005C22CF">
      <w:pPr>
        <w:rPr>
          <w:rFonts w:ascii="Arial" w:hAnsi="Arial" w:cs="Arial"/>
        </w:rPr>
      </w:pPr>
    </w:p>
    <w:p w14:paraId="49DCFF45" w14:textId="77777777" w:rsidR="00457981" w:rsidRPr="00F13662" w:rsidRDefault="00457981">
      <w:pPr>
        <w:rPr>
          <w:rFonts w:ascii="Arial" w:hAnsi="Arial" w:cs="Arial"/>
        </w:rPr>
      </w:pPr>
      <w:r w:rsidRPr="00F13662">
        <w:rPr>
          <w:rFonts w:ascii="Arial" w:hAnsi="Arial" w:cs="Arial"/>
        </w:rPr>
        <w:t>Hiermit erkläre ich, dass ich</w:t>
      </w:r>
    </w:p>
    <w:p w14:paraId="3E39D3D5" w14:textId="77777777" w:rsidR="00C23D98" w:rsidRPr="00F13662" w:rsidRDefault="0028075A" w:rsidP="0028075A">
      <w:pPr>
        <w:ind w:left="284"/>
        <w:contextualSpacing/>
        <w:rPr>
          <w:rFonts w:ascii="Arial" w:hAnsi="Arial" w:cs="Arial"/>
        </w:rPr>
      </w:pPr>
      <w:r>
        <w:rPr>
          <w:rFonts w:ascii="Arial" w:hAnsi="Arial" w:cs="Arial"/>
        </w:rPr>
        <w:t xml:space="preserve">□ </w:t>
      </w:r>
      <w:r w:rsidR="00C23D98" w:rsidRPr="00F13662">
        <w:rPr>
          <w:rFonts w:ascii="Arial" w:hAnsi="Arial" w:cs="Arial"/>
        </w:rPr>
        <w:t xml:space="preserve">über meine Verpflichtung zur Verschwiegenheit belehrt worden bin. </w:t>
      </w:r>
    </w:p>
    <w:p w14:paraId="4B805D15" w14:textId="77777777" w:rsidR="00457981" w:rsidRDefault="00C23D98" w:rsidP="00C23D98">
      <w:pPr>
        <w:ind w:left="284"/>
        <w:rPr>
          <w:rFonts w:ascii="Arial" w:hAnsi="Arial" w:cs="Arial"/>
        </w:rPr>
      </w:pPr>
      <w:r w:rsidRPr="00F13662">
        <w:rPr>
          <w:rFonts w:ascii="Arial" w:hAnsi="Arial" w:cs="Arial"/>
        </w:rPr>
        <w:t>Ich weiß, dass ich über alle Angelegenheiten, die ich im Zusammenhang mit meiner ehrenamtlichen Tätigkeit über Schülerinnen und Schüler</w:t>
      </w:r>
      <w:r w:rsidR="00CA15C8">
        <w:rPr>
          <w:rFonts w:ascii="Arial" w:hAnsi="Arial" w:cs="Arial"/>
        </w:rPr>
        <w:t xml:space="preserve"> </w:t>
      </w:r>
      <w:r w:rsidR="00FC3860">
        <w:rPr>
          <w:rFonts w:ascii="Arial" w:hAnsi="Arial" w:cs="Arial"/>
        </w:rPr>
        <w:t>und andere Personen in</w:t>
      </w:r>
      <w:r w:rsidRPr="00F13662">
        <w:rPr>
          <w:rFonts w:ascii="Arial" w:hAnsi="Arial" w:cs="Arial"/>
        </w:rPr>
        <w:t xml:space="preserve"> der Schule erfahre, Stillschweigen zu bewahren habe. Mir ist bewusst, dass ich mit Personen, die nicht </w:t>
      </w:r>
      <w:r w:rsidR="00FC3860">
        <w:rPr>
          <w:rFonts w:ascii="Arial" w:hAnsi="Arial" w:cs="Arial"/>
        </w:rPr>
        <w:t xml:space="preserve">an derselben Schule </w:t>
      </w:r>
      <w:r w:rsidRPr="00F13662">
        <w:rPr>
          <w:rFonts w:ascii="Arial" w:hAnsi="Arial" w:cs="Arial"/>
        </w:rPr>
        <w:t>mit der Beschulung oder Betreuung der Schülerinnen und Schüler beauftragt sind, nicht über das Erfahrene sprechen darf.</w:t>
      </w:r>
    </w:p>
    <w:p w14:paraId="167FCC24" w14:textId="77777777" w:rsidR="0028075A" w:rsidRPr="0028075A" w:rsidRDefault="0028075A" w:rsidP="0028075A">
      <w:pPr>
        <w:ind w:left="284"/>
        <w:rPr>
          <w:rFonts w:ascii="Arial" w:hAnsi="Arial" w:cs="Arial"/>
        </w:rPr>
      </w:pPr>
      <w:r w:rsidRPr="0028075A">
        <w:rPr>
          <w:rFonts w:ascii="Arial" w:hAnsi="Arial" w:cs="Arial"/>
        </w:rPr>
        <w:sym w:font="Symbol" w:char="F0F0"/>
      </w:r>
      <w:r>
        <w:rPr>
          <w:rFonts w:ascii="Arial" w:hAnsi="Arial" w:cs="Arial"/>
        </w:rPr>
        <w:t xml:space="preserve"> </w:t>
      </w:r>
      <w:r w:rsidRPr="0028075A">
        <w:rPr>
          <w:rFonts w:ascii="Arial" w:hAnsi="Arial" w:cs="Arial"/>
        </w:rPr>
        <w:t>nicht gerichtlich bestraft worden bin und dass gegen mich kein gerichtliches Strafverfahren</w:t>
      </w:r>
      <w:r w:rsidR="00CA15C8">
        <w:rPr>
          <w:rFonts w:ascii="Arial" w:hAnsi="Arial" w:cs="Arial"/>
        </w:rPr>
        <w:t xml:space="preserve"> oder</w:t>
      </w:r>
      <w:r w:rsidRPr="0028075A">
        <w:rPr>
          <w:rFonts w:ascii="Arial" w:hAnsi="Arial" w:cs="Arial"/>
        </w:rPr>
        <w:t xml:space="preserve"> strafrechtliches Ermittlungsverfahren anhängig ist</w:t>
      </w:r>
      <w:r w:rsidR="00D80227">
        <w:rPr>
          <w:rFonts w:ascii="Arial" w:hAnsi="Arial" w:cs="Arial"/>
        </w:rPr>
        <w:t xml:space="preserve"> sowie </w:t>
      </w:r>
      <w:proofErr w:type="spellStart"/>
      <w:r w:rsidR="00D80227">
        <w:rPr>
          <w:rFonts w:ascii="Arial" w:hAnsi="Arial" w:cs="Arial"/>
        </w:rPr>
        <w:t>dass</w:t>
      </w:r>
      <w:proofErr w:type="spellEnd"/>
      <w:r w:rsidR="00D80227">
        <w:rPr>
          <w:rFonts w:ascii="Arial" w:hAnsi="Arial" w:cs="Arial"/>
        </w:rPr>
        <w:t xml:space="preserve"> – soweit mir bekannt – keine Eintragungen im Bundeszentralregister (BZR) vorhanden sind</w:t>
      </w:r>
      <w:r w:rsidRPr="0028075A">
        <w:rPr>
          <w:rFonts w:ascii="Arial" w:hAnsi="Arial" w:cs="Arial"/>
        </w:rPr>
        <w:t>,</w:t>
      </w:r>
    </w:p>
    <w:p w14:paraId="3FC74EEE" w14:textId="77777777" w:rsidR="00FC3860" w:rsidRPr="0028075A" w:rsidRDefault="0028075A" w:rsidP="0028075A">
      <w:pPr>
        <w:ind w:left="284"/>
        <w:rPr>
          <w:rFonts w:ascii="Arial" w:hAnsi="Arial" w:cs="Arial"/>
        </w:rPr>
      </w:pPr>
      <w:r w:rsidRPr="0028075A">
        <w:rPr>
          <w:rFonts w:ascii="Arial" w:hAnsi="Arial" w:cs="Arial"/>
        </w:rPr>
        <w:sym w:font="Symbol" w:char="F0F0"/>
      </w:r>
      <w:r w:rsidRPr="0028075A">
        <w:rPr>
          <w:rFonts w:ascii="Arial" w:hAnsi="Arial" w:cs="Arial"/>
        </w:rPr>
        <w:t xml:space="preserve"> </w:t>
      </w:r>
      <w:r w:rsidR="003002C3" w:rsidRPr="003002C3">
        <w:rPr>
          <w:rFonts w:ascii="Arial" w:hAnsi="Arial" w:cs="Arial"/>
        </w:rPr>
        <w:t>über die gesundheitlichen Anforderungen und meine Mitwirkungspflichten nach dem Infektionsschutzgesetz belehrt worden bin.</w:t>
      </w:r>
      <w:r w:rsidRPr="0028075A">
        <w:rPr>
          <w:rFonts w:ascii="Arial" w:hAnsi="Arial" w:cs="Arial"/>
        </w:rPr>
        <w:t xml:space="preserve"> Die §§ 33 bis 36 des Infektionsschutzgesetzes sind mir zur Kenntnis gegeben worden</w:t>
      </w:r>
      <w:r w:rsidR="00FC3860">
        <w:rPr>
          <w:rFonts w:ascii="Arial" w:hAnsi="Arial" w:cs="Arial"/>
        </w:rPr>
        <w:t>,</w:t>
      </w:r>
      <w:r w:rsidR="00B64713">
        <w:rPr>
          <w:rFonts w:ascii="Arial" w:hAnsi="Arial" w:cs="Arial"/>
        </w:rPr>
        <w:t xml:space="preserve"> </w:t>
      </w:r>
      <w:r w:rsidR="00FC3860">
        <w:rPr>
          <w:rFonts w:ascii="Arial" w:hAnsi="Arial" w:cs="Arial"/>
        </w:rPr>
        <w:t>darüber informiert worden bin, dass ich bei einer Tätigkeit von mehr als nur wenigen Tagen der Schulleitung einen Nachweis über einen ausreichenden Impfschutz gegen Masern (alternativ ein ärztliches Zeugnis, dass eine Immunität gegen Masern vorliegt oder dass eine medizinische Kontraindikation gegen eine Impfung vorliegt) vorlegen muss (§ 20 des Infektionsschutzgesetzes).</w:t>
      </w:r>
    </w:p>
    <w:p w14:paraId="5C2BCFBC" w14:textId="77777777" w:rsidR="0028075A" w:rsidRPr="00F13662" w:rsidRDefault="0028075A" w:rsidP="00C23D98">
      <w:pPr>
        <w:ind w:left="284"/>
        <w:rPr>
          <w:rFonts w:ascii="Arial" w:hAnsi="Arial" w:cs="Arial"/>
        </w:rPr>
      </w:pPr>
    </w:p>
    <w:p w14:paraId="17CD3FE2" w14:textId="77777777" w:rsidR="00960B93" w:rsidRPr="00F13662" w:rsidRDefault="00960B93" w:rsidP="00960B93">
      <w:pPr>
        <w:rPr>
          <w:rFonts w:ascii="Arial" w:hAnsi="Arial" w:cs="Arial"/>
        </w:rPr>
      </w:pPr>
    </w:p>
    <w:p w14:paraId="381879C0" w14:textId="77777777" w:rsidR="00960B93" w:rsidRPr="00F13662" w:rsidRDefault="00960B93" w:rsidP="00960B93">
      <w:pPr>
        <w:spacing w:line="240" w:lineRule="auto"/>
        <w:ind w:left="284" w:hanging="284"/>
        <w:rPr>
          <w:rFonts w:ascii="Arial" w:hAnsi="Arial" w:cs="Arial"/>
        </w:rPr>
      </w:pPr>
      <w:r w:rsidRPr="00F13662">
        <w:rPr>
          <w:rFonts w:ascii="Arial" w:hAnsi="Arial" w:cs="Arial"/>
        </w:rPr>
        <w:t>_________________________________</w:t>
      </w:r>
      <w:r w:rsidRPr="00F13662">
        <w:rPr>
          <w:rFonts w:ascii="Arial" w:hAnsi="Arial" w:cs="Arial"/>
        </w:rPr>
        <w:tab/>
      </w:r>
      <w:r w:rsidR="00C20568">
        <w:rPr>
          <w:rFonts w:ascii="Arial" w:hAnsi="Arial" w:cs="Arial"/>
        </w:rPr>
        <w:t xml:space="preserve"> _____</w:t>
      </w:r>
      <w:r w:rsidRPr="00F13662">
        <w:rPr>
          <w:rFonts w:ascii="Arial" w:hAnsi="Arial" w:cs="Arial"/>
        </w:rPr>
        <w:t>______________________________</w:t>
      </w:r>
    </w:p>
    <w:p w14:paraId="1E037A84" w14:textId="77777777" w:rsidR="00960B93" w:rsidRDefault="00C20568" w:rsidP="00960B93">
      <w:pPr>
        <w:spacing w:line="240" w:lineRule="auto"/>
        <w:rPr>
          <w:rFonts w:ascii="Arial" w:hAnsi="Arial" w:cs="Arial"/>
        </w:rPr>
      </w:pPr>
      <w:r>
        <w:rPr>
          <w:rFonts w:ascii="Arial" w:hAnsi="Arial" w:cs="Arial"/>
        </w:rPr>
        <w:t>(</w:t>
      </w:r>
      <w:r w:rsidR="00960B93" w:rsidRPr="00F13662">
        <w:rPr>
          <w:rFonts w:ascii="Arial" w:hAnsi="Arial" w:cs="Arial"/>
        </w:rPr>
        <w:t xml:space="preserve">Unterschrift </w:t>
      </w:r>
      <w:r>
        <w:rPr>
          <w:rFonts w:ascii="Arial" w:hAnsi="Arial" w:cs="Arial"/>
        </w:rPr>
        <w:t xml:space="preserve">der </w:t>
      </w:r>
      <w:r w:rsidR="00960B93" w:rsidRPr="00F13662">
        <w:rPr>
          <w:rFonts w:ascii="Arial" w:hAnsi="Arial" w:cs="Arial"/>
        </w:rPr>
        <w:t>ehrenamtlich tätige</w:t>
      </w:r>
      <w:r>
        <w:rPr>
          <w:rFonts w:ascii="Arial" w:hAnsi="Arial" w:cs="Arial"/>
        </w:rPr>
        <w:t>n</w:t>
      </w:r>
      <w:r w:rsidR="00960B93" w:rsidRPr="00F13662">
        <w:rPr>
          <w:rFonts w:ascii="Arial" w:hAnsi="Arial" w:cs="Arial"/>
        </w:rPr>
        <w:t xml:space="preserve"> Person</w:t>
      </w:r>
      <w:r>
        <w:rPr>
          <w:rFonts w:ascii="Arial" w:hAnsi="Arial" w:cs="Arial"/>
        </w:rPr>
        <w:t>)</w:t>
      </w:r>
      <w:r w:rsidR="00960B93" w:rsidRPr="00F13662">
        <w:rPr>
          <w:rFonts w:ascii="Arial" w:hAnsi="Arial" w:cs="Arial"/>
        </w:rPr>
        <w:tab/>
      </w:r>
      <w:r>
        <w:rPr>
          <w:rFonts w:ascii="Arial" w:hAnsi="Arial" w:cs="Arial"/>
        </w:rPr>
        <w:t>(</w:t>
      </w:r>
      <w:r w:rsidR="00960B93" w:rsidRPr="00F13662">
        <w:rPr>
          <w:rFonts w:ascii="Arial" w:hAnsi="Arial" w:cs="Arial"/>
        </w:rPr>
        <w:t>Unterschrift der belehrenden Person</w:t>
      </w:r>
      <w:r>
        <w:rPr>
          <w:rFonts w:ascii="Arial" w:hAnsi="Arial" w:cs="Arial"/>
        </w:rPr>
        <w:t>)</w:t>
      </w:r>
    </w:p>
    <w:p w14:paraId="067FE389" w14:textId="77777777" w:rsidR="003002C3" w:rsidRDefault="003002C3" w:rsidP="00960B93">
      <w:pPr>
        <w:spacing w:line="240" w:lineRule="auto"/>
        <w:rPr>
          <w:rFonts w:ascii="Arial" w:hAnsi="Arial" w:cs="Arial"/>
        </w:rPr>
      </w:pPr>
    </w:p>
    <w:p w14:paraId="7348C07B" w14:textId="77777777" w:rsidR="003002C3" w:rsidRDefault="003002C3" w:rsidP="00960B93">
      <w:pPr>
        <w:spacing w:line="240" w:lineRule="auto"/>
        <w:rPr>
          <w:rFonts w:ascii="Arial" w:hAnsi="Arial" w:cs="Arial"/>
        </w:rPr>
      </w:pPr>
    </w:p>
    <w:p w14:paraId="490D13FD" w14:textId="77777777" w:rsidR="003002C3" w:rsidRDefault="003002C3" w:rsidP="00960B93">
      <w:pPr>
        <w:spacing w:line="240" w:lineRule="auto"/>
        <w:rPr>
          <w:rFonts w:ascii="Arial" w:hAnsi="Arial" w:cs="Arial"/>
        </w:rPr>
      </w:pPr>
    </w:p>
    <w:p w14:paraId="15C49A91" w14:textId="77777777" w:rsidR="003002C3" w:rsidRDefault="003002C3" w:rsidP="00960B93">
      <w:pPr>
        <w:spacing w:line="240" w:lineRule="auto"/>
        <w:rPr>
          <w:rFonts w:ascii="Arial" w:hAnsi="Arial" w:cs="Arial"/>
        </w:rPr>
      </w:pPr>
    </w:p>
    <w:p w14:paraId="326A755B" w14:textId="77777777" w:rsidR="003002C3" w:rsidRDefault="003002C3" w:rsidP="00960B93">
      <w:pPr>
        <w:spacing w:line="240" w:lineRule="auto"/>
        <w:rPr>
          <w:rFonts w:ascii="Arial" w:hAnsi="Arial" w:cs="Arial"/>
        </w:rPr>
      </w:pPr>
    </w:p>
    <w:p w14:paraId="3925053E" w14:textId="77777777" w:rsidR="00B64713" w:rsidRPr="00B64713" w:rsidRDefault="00B64713" w:rsidP="00B64713">
      <w:pPr>
        <w:spacing w:after="160" w:line="259" w:lineRule="auto"/>
        <w:jc w:val="center"/>
        <w:rPr>
          <w:rFonts w:ascii="Arial" w:eastAsia="Calibri" w:hAnsi="Arial" w:cs="Arial"/>
          <w:b/>
          <w:bCs/>
          <w:sz w:val="20"/>
          <w:szCs w:val="20"/>
        </w:rPr>
      </w:pPr>
      <w:bookmarkStart w:id="0" w:name="_GoBack"/>
      <w:bookmarkEnd w:id="0"/>
      <w:r w:rsidRPr="00B64713">
        <w:rPr>
          <w:rFonts w:ascii="Arial" w:eastAsia="Calibri" w:hAnsi="Arial" w:cs="Arial"/>
          <w:b/>
          <w:bCs/>
          <w:sz w:val="20"/>
          <w:szCs w:val="20"/>
        </w:rPr>
        <w:t>Auszug Infektionsschutzgesetz</w:t>
      </w:r>
    </w:p>
    <w:p w14:paraId="5C46E58D" w14:textId="77777777" w:rsidR="00B64713" w:rsidRPr="00B64713" w:rsidRDefault="00B64713" w:rsidP="00B64713">
      <w:pPr>
        <w:spacing w:after="160" w:line="259" w:lineRule="auto"/>
        <w:rPr>
          <w:rFonts w:ascii="Arial" w:eastAsia="Calibri" w:hAnsi="Arial" w:cs="Arial"/>
          <w:b/>
          <w:bCs/>
          <w:sz w:val="20"/>
          <w:szCs w:val="20"/>
        </w:rPr>
      </w:pPr>
      <w:r w:rsidRPr="00B64713">
        <w:rPr>
          <w:rFonts w:ascii="Arial" w:eastAsia="Calibri" w:hAnsi="Arial" w:cs="Arial"/>
          <w:b/>
          <w:bCs/>
          <w:sz w:val="20"/>
          <w:szCs w:val="20"/>
        </w:rPr>
        <w:t>§ 33 Gemeinschaftseinrichtungen</w:t>
      </w:r>
    </w:p>
    <w:p w14:paraId="26E13DBF"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Gemeinschaftseinrichtungen im Sinne dieses Gesetzes sind Einrichtungen, in denen überwiegend minderjährige Personen betreut werden; dazu gehören insbesondere:</w:t>
      </w:r>
    </w:p>
    <w:p w14:paraId="2A0A94F7"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 Kindertageseinrichtungen und Kinderhorte,</w:t>
      </w:r>
    </w:p>
    <w:p w14:paraId="730193A1"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2. die nach § 43 Absatz 1 des Achten Buches Sozialgesetzbuch erlaubnispflichtige Kindertagespflege,</w:t>
      </w:r>
    </w:p>
    <w:p w14:paraId="1E8987C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3. Schulen und sonstige Ausbildungseinrichtungen,</w:t>
      </w:r>
    </w:p>
    <w:p w14:paraId="1D2A42D9"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4. Heime und</w:t>
      </w:r>
    </w:p>
    <w:p w14:paraId="79532DBC"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5. Ferienlager.</w:t>
      </w:r>
    </w:p>
    <w:p w14:paraId="070E7A44" w14:textId="77777777" w:rsidR="00B64713" w:rsidRPr="00B64713" w:rsidRDefault="00B64713" w:rsidP="00B64713">
      <w:pPr>
        <w:spacing w:after="160" w:line="259" w:lineRule="auto"/>
        <w:rPr>
          <w:rFonts w:ascii="Arial" w:eastAsia="Calibri" w:hAnsi="Arial" w:cs="Arial"/>
          <w:b/>
          <w:bCs/>
          <w:sz w:val="20"/>
          <w:szCs w:val="20"/>
        </w:rPr>
      </w:pPr>
      <w:bookmarkStart w:id="1" w:name="BJNR104510000BJNE005102116"/>
      <w:bookmarkEnd w:id="1"/>
      <w:r w:rsidRPr="00B64713">
        <w:rPr>
          <w:rFonts w:ascii="Arial" w:eastAsia="Calibri" w:hAnsi="Arial" w:cs="Arial"/>
          <w:b/>
          <w:bCs/>
          <w:sz w:val="20"/>
          <w:szCs w:val="20"/>
        </w:rPr>
        <w:t>§ 34 Gesundheitliche Anforderungen, Mitwirkungspflichten, Aufgaben des Gesundheitsamtes</w:t>
      </w:r>
    </w:p>
    <w:p w14:paraId="517524A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 Personen, die an</w:t>
      </w:r>
    </w:p>
    <w:p w14:paraId="160BB2A6"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 Cholera</w:t>
      </w:r>
    </w:p>
    <w:p w14:paraId="59D14293"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2. Diphtherie</w:t>
      </w:r>
    </w:p>
    <w:p w14:paraId="4BF3EB0D"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3. Enteritis durch </w:t>
      </w:r>
      <w:proofErr w:type="spellStart"/>
      <w:r w:rsidRPr="00B64713">
        <w:rPr>
          <w:rFonts w:ascii="Arial" w:eastAsia="Calibri" w:hAnsi="Arial" w:cs="Arial"/>
          <w:sz w:val="20"/>
          <w:szCs w:val="20"/>
        </w:rPr>
        <w:t>enterohämorrhagische</w:t>
      </w:r>
      <w:proofErr w:type="spellEnd"/>
      <w:r w:rsidRPr="00B64713">
        <w:rPr>
          <w:rFonts w:ascii="Arial" w:eastAsia="Calibri" w:hAnsi="Arial" w:cs="Arial"/>
          <w:sz w:val="20"/>
          <w:szCs w:val="20"/>
        </w:rPr>
        <w:t xml:space="preserve"> E. coli (EHEC)</w:t>
      </w:r>
    </w:p>
    <w:p w14:paraId="678D2FE8"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4. virusbedingtem hämorrhagischen Fieber</w:t>
      </w:r>
    </w:p>
    <w:p w14:paraId="2E73BD7C"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5. </w:t>
      </w:r>
      <w:proofErr w:type="spellStart"/>
      <w:r w:rsidRPr="00B64713">
        <w:rPr>
          <w:rFonts w:ascii="Arial" w:eastAsia="Calibri" w:hAnsi="Arial" w:cs="Arial"/>
          <w:sz w:val="20"/>
          <w:szCs w:val="20"/>
        </w:rPr>
        <w:t>Haemophilus</w:t>
      </w:r>
      <w:proofErr w:type="spellEnd"/>
      <w:r w:rsidRPr="00B64713">
        <w:rPr>
          <w:rFonts w:ascii="Arial" w:eastAsia="Calibri" w:hAnsi="Arial" w:cs="Arial"/>
          <w:sz w:val="20"/>
          <w:szCs w:val="20"/>
        </w:rPr>
        <w:t xml:space="preserve"> </w:t>
      </w:r>
      <w:proofErr w:type="spellStart"/>
      <w:r w:rsidRPr="00B64713">
        <w:rPr>
          <w:rFonts w:ascii="Arial" w:eastAsia="Calibri" w:hAnsi="Arial" w:cs="Arial"/>
          <w:sz w:val="20"/>
          <w:szCs w:val="20"/>
        </w:rPr>
        <w:t>influenzae</w:t>
      </w:r>
      <w:proofErr w:type="spellEnd"/>
      <w:r w:rsidRPr="00B64713">
        <w:rPr>
          <w:rFonts w:ascii="Arial" w:eastAsia="Calibri" w:hAnsi="Arial" w:cs="Arial"/>
          <w:sz w:val="20"/>
          <w:szCs w:val="20"/>
        </w:rPr>
        <w:t xml:space="preserve"> Typ b-Meningitis</w:t>
      </w:r>
    </w:p>
    <w:p w14:paraId="29390E99"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6. Impetigo </w:t>
      </w:r>
      <w:proofErr w:type="spellStart"/>
      <w:r w:rsidRPr="00B64713">
        <w:rPr>
          <w:rFonts w:ascii="Arial" w:eastAsia="Calibri" w:hAnsi="Arial" w:cs="Arial"/>
          <w:sz w:val="20"/>
          <w:szCs w:val="20"/>
        </w:rPr>
        <w:t>contagiosa</w:t>
      </w:r>
      <w:proofErr w:type="spellEnd"/>
      <w:r w:rsidRPr="00B64713">
        <w:rPr>
          <w:rFonts w:ascii="Arial" w:eastAsia="Calibri" w:hAnsi="Arial" w:cs="Arial"/>
          <w:sz w:val="20"/>
          <w:szCs w:val="20"/>
        </w:rPr>
        <w:t xml:space="preserve"> (ansteckende Borkenflechte)</w:t>
      </w:r>
    </w:p>
    <w:p w14:paraId="0CF1C12D"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7. Keuchhusten</w:t>
      </w:r>
    </w:p>
    <w:p w14:paraId="318C9AAA"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8. ansteckungsfähiger Lungentuberkulose</w:t>
      </w:r>
    </w:p>
    <w:p w14:paraId="7A1631E3"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9. Masern</w:t>
      </w:r>
    </w:p>
    <w:p w14:paraId="4084D244"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10. </w:t>
      </w:r>
      <w:proofErr w:type="spellStart"/>
      <w:r w:rsidRPr="00B64713">
        <w:rPr>
          <w:rFonts w:ascii="Arial" w:eastAsia="Calibri" w:hAnsi="Arial" w:cs="Arial"/>
          <w:sz w:val="20"/>
          <w:szCs w:val="20"/>
        </w:rPr>
        <w:t>Meningokokken</w:t>
      </w:r>
      <w:proofErr w:type="spellEnd"/>
      <w:r w:rsidRPr="00B64713">
        <w:rPr>
          <w:rFonts w:ascii="Arial" w:eastAsia="Calibri" w:hAnsi="Arial" w:cs="Arial"/>
          <w:sz w:val="20"/>
          <w:szCs w:val="20"/>
        </w:rPr>
        <w:t>-Infektion</w:t>
      </w:r>
    </w:p>
    <w:p w14:paraId="42835DD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11. Mumps</w:t>
      </w:r>
    </w:p>
    <w:p w14:paraId="44B39A22"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12. Paratyphus</w:t>
      </w:r>
    </w:p>
    <w:p w14:paraId="392CD774"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13. Pest</w:t>
      </w:r>
    </w:p>
    <w:p w14:paraId="08525376"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14. Poliomyelitis</w:t>
      </w:r>
    </w:p>
    <w:p w14:paraId="595892EF"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14a. Röteln</w:t>
      </w:r>
    </w:p>
    <w:p w14:paraId="3609B616"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15. Scharlach oder sonstigen </w:t>
      </w:r>
      <w:proofErr w:type="spellStart"/>
      <w:r w:rsidRPr="00B64713">
        <w:rPr>
          <w:rFonts w:ascii="Arial" w:eastAsia="Calibri" w:hAnsi="Arial" w:cs="Arial"/>
          <w:sz w:val="20"/>
          <w:szCs w:val="20"/>
        </w:rPr>
        <w:t>Streptococcus</w:t>
      </w:r>
      <w:proofErr w:type="spellEnd"/>
      <w:r w:rsidRPr="00B64713">
        <w:rPr>
          <w:rFonts w:ascii="Arial" w:eastAsia="Calibri" w:hAnsi="Arial" w:cs="Arial"/>
          <w:sz w:val="20"/>
          <w:szCs w:val="20"/>
        </w:rPr>
        <w:t xml:space="preserve"> pyogenes-Infektionen</w:t>
      </w:r>
    </w:p>
    <w:p w14:paraId="2D9B4CF9"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16. </w:t>
      </w:r>
      <w:proofErr w:type="spellStart"/>
      <w:r w:rsidRPr="00B64713">
        <w:rPr>
          <w:rFonts w:ascii="Arial" w:eastAsia="Calibri" w:hAnsi="Arial" w:cs="Arial"/>
          <w:sz w:val="20"/>
          <w:szCs w:val="20"/>
        </w:rPr>
        <w:t>Shigellose</w:t>
      </w:r>
      <w:proofErr w:type="spellEnd"/>
    </w:p>
    <w:p w14:paraId="39E4C446"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17. Skabies (Krätze)</w:t>
      </w:r>
    </w:p>
    <w:p w14:paraId="184A86C7"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18. Typhus </w:t>
      </w:r>
      <w:proofErr w:type="spellStart"/>
      <w:r w:rsidRPr="00B64713">
        <w:rPr>
          <w:rFonts w:ascii="Arial" w:eastAsia="Calibri" w:hAnsi="Arial" w:cs="Arial"/>
          <w:sz w:val="20"/>
          <w:szCs w:val="20"/>
        </w:rPr>
        <w:t>abdominalis</w:t>
      </w:r>
      <w:proofErr w:type="spellEnd"/>
    </w:p>
    <w:p w14:paraId="7E212F7F"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19. Virushepatitis A oder E</w:t>
      </w:r>
    </w:p>
    <w:p w14:paraId="5A28059C"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20. Windpocken</w:t>
      </w:r>
    </w:p>
    <w:p w14:paraId="4C6C0FDB"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erkrankt oder dessen verdächtig oder die verlaust sind, dürfen in den in § 33 genannten Gemeinschaftseinrichtungen keine Lehr-, Erziehungs-, Pflege-, Aufsichts- </w:t>
      </w:r>
      <w:r w:rsidRPr="00B64713">
        <w:rPr>
          <w:rFonts w:ascii="Arial" w:eastAsia="Calibri" w:hAnsi="Arial" w:cs="Arial"/>
          <w:b/>
          <w:sz w:val="20"/>
          <w:szCs w:val="20"/>
        </w:rPr>
        <w:t>oder sonstige Tätigkeiten</w:t>
      </w:r>
      <w:r w:rsidRPr="00B64713">
        <w:rPr>
          <w:rFonts w:ascii="Arial" w:eastAsia="Calibri" w:hAnsi="Arial" w:cs="Arial"/>
          <w:sz w:val="20"/>
          <w:szCs w:val="20"/>
        </w:rPr>
        <w:t xml:space="preserve"> ausüben, bei denen sie Kontakt zu den dort Betreuten haben, bis nach ärztlichem Urteil eine Weiterverbreitung der Krankheit oder der Verlausung durch sie nicht mehr zu befürchten ist. Satz 1 gilt entsprechend für die in der Gemeinschaftseinrichtung Betreuten mit der Maßgabe, dass sie die dem Betrieb der Gemeinschaftseinrichtung dienenden Räume nicht betreten, Einrichtungen der Gemeinschaftseinrichtung nicht benutzen und an Veranstaltungen der Gemeinschaftseinrichtung nicht teilnehmen dürfen. Satz 2 gilt auch für Kinder, die das 6. Lebensjahr noch nicht vollendet haben und an infektiöser Gastroenteritis erkrankt oder dessen verdächtig sind.</w:t>
      </w:r>
    </w:p>
    <w:p w14:paraId="68A92AC2"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(2) Ausscheider von</w:t>
      </w:r>
    </w:p>
    <w:p w14:paraId="3CDA4B63"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1. </w:t>
      </w:r>
      <w:proofErr w:type="spellStart"/>
      <w:r w:rsidRPr="00B64713">
        <w:rPr>
          <w:rFonts w:ascii="Arial" w:eastAsia="Calibri" w:hAnsi="Arial" w:cs="Arial"/>
          <w:sz w:val="20"/>
          <w:szCs w:val="20"/>
        </w:rPr>
        <w:t>Vibrio</w:t>
      </w:r>
      <w:proofErr w:type="spellEnd"/>
      <w:r w:rsidRPr="00B64713">
        <w:rPr>
          <w:rFonts w:ascii="Arial" w:eastAsia="Calibri" w:hAnsi="Arial" w:cs="Arial"/>
          <w:sz w:val="20"/>
          <w:szCs w:val="20"/>
        </w:rPr>
        <w:t xml:space="preserve"> </w:t>
      </w:r>
      <w:proofErr w:type="spellStart"/>
      <w:r w:rsidRPr="00B64713">
        <w:rPr>
          <w:rFonts w:ascii="Arial" w:eastAsia="Calibri" w:hAnsi="Arial" w:cs="Arial"/>
          <w:sz w:val="20"/>
          <w:szCs w:val="20"/>
        </w:rPr>
        <w:t>cholerae</w:t>
      </w:r>
      <w:proofErr w:type="spellEnd"/>
      <w:r w:rsidRPr="00B64713">
        <w:rPr>
          <w:rFonts w:ascii="Arial" w:eastAsia="Calibri" w:hAnsi="Arial" w:cs="Arial"/>
          <w:sz w:val="20"/>
          <w:szCs w:val="20"/>
        </w:rPr>
        <w:t xml:space="preserve"> O 1 und O 139</w:t>
      </w:r>
    </w:p>
    <w:p w14:paraId="1D8AF8EC"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2. </w:t>
      </w:r>
      <w:proofErr w:type="spellStart"/>
      <w:r w:rsidRPr="00B64713">
        <w:rPr>
          <w:rFonts w:ascii="Arial" w:eastAsia="Calibri" w:hAnsi="Arial" w:cs="Arial"/>
          <w:sz w:val="20"/>
          <w:szCs w:val="20"/>
        </w:rPr>
        <w:t>Corynebacterium</w:t>
      </w:r>
      <w:proofErr w:type="spellEnd"/>
      <w:r w:rsidRPr="00B64713">
        <w:rPr>
          <w:rFonts w:ascii="Arial" w:eastAsia="Calibri" w:hAnsi="Arial" w:cs="Arial"/>
          <w:sz w:val="20"/>
          <w:szCs w:val="20"/>
        </w:rPr>
        <w:t xml:space="preserve"> </w:t>
      </w:r>
      <w:proofErr w:type="spellStart"/>
      <w:r w:rsidRPr="00B64713">
        <w:rPr>
          <w:rFonts w:ascii="Arial" w:eastAsia="Calibri" w:hAnsi="Arial" w:cs="Arial"/>
          <w:sz w:val="20"/>
          <w:szCs w:val="20"/>
        </w:rPr>
        <w:t>spp</w:t>
      </w:r>
      <w:proofErr w:type="spellEnd"/>
      <w:r w:rsidRPr="00B64713">
        <w:rPr>
          <w:rFonts w:ascii="Arial" w:eastAsia="Calibri" w:hAnsi="Arial" w:cs="Arial"/>
          <w:sz w:val="20"/>
          <w:szCs w:val="20"/>
        </w:rPr>
        <w:t>., Toxin bildend</w:t>
      </w:r>
    </w:p>
    <w:p w14:paraId="777C350C"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3. Salmonella </w:t>
      </w:r>
      <w:proofErr w:type="spellStart"/>
      <w:r w:rsidRPr="00B64713">
        <w:rPr>
          <w:rFonts w:ascii="Arial" w:eastAsia="Calibri" w:hAnsi="Arial" w:cs="Arial"/>
          <w:sz w:val="20"/>
          <w:szCs w:val="20"/>
        </w:rPr>
        <w:t>Typhi</w:t>
      </w:r>
      <w:proofErr w:type="spellEnd"/>
    </w:p>
    <w:p w14:paraId="730BF9DA"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4. Salmonella </w:t>
      </w:r>
      <w:proofErr w:type="spellStart"/>
      <w:r w:rsidRPr="00B64713">
        <w:rPr>
          <w:rFonts w:ascii="Arial" w:eastAsia="Calibri" w:hAnsi="Arial" w:cs="Arial"/>
          <w:sz w:val="20"/>
          <w:szCs w:val="20"/>
        </w:rPr>
        <w:t>Paratyphi</w:t>
      </w:r>
      <w:proofErr w:type="spellEnd"/>
    </w:p>
    <w:p w14:paraId="2D7D2100"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5. </w:t>
      </w:r>
      <w:proofErr w:type="spellStart"/>
      <w:r w:rsidRPr="00B64713">
        <w:rPr>
          <w:rFonts w:ascii="Arial" w:eastAsia="Calibri" w:hAnsi="Arial" w:cs="Arial"/>
          <w:sz w:val="20"/>
          <w:szCs w:val="20"/>
        </w:rPr>
        <w:t>Shigella</w:t>
      </w:r>
      <w:proofErr w:type="spellEnd"/>
      <w:r w:rsidRPr="00B64713">
        <w:rPr>
          <w:rFonts w:ascii="Arial" w:eastAsia="Calibri" w:hAnsi="Arial" w:cs="Arial"/>
          <w:sz w:val="20"/>
          <w:szCs w:val="20"/>
        </w:rPr>
        <w:t xml:space="preserve"> </w:t>
      </w:r>
      <w:proofErr w:type="spellStart"/>
      <w:r w:rsidRPr="00B64713">
        <w:rPr>
          <w:rFonts w:ascii="Arial" w:eastAsia="Calibri" w:hAnsi="Arial" w:cs="Arial"/>
          <w:sz w:val="20"/>
          <w:szCs w:val="20"/>
        </w:rPr>
        <w:t>sp</w:t>
      </w:r>
      <w:proofErr w:type="spellEnd"/>
      <w:r w:rsidRPr="00B64713">
        <w:rPr>
          <w:rFonts w:ascii="Arial" w:eastAsia="Calibri" w:hAnsi="Arial" w:cs="Arial"/>
          <w:sz w:val="20"/>
          <w:szCs w:val="20"/>
        </w:rPr>
        <w:t>.</w:t>
      </w:r>
    </w:p>
    <w:p w14:paraId="3467B9C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6. </w:t>
      </w:r>
      <w:proofErr w:type="spellStart"/>
      <w:r w:rsidRPr="00B64713">
        <w:rPr>
          <w:rFonts w:ascii="Arial" w:eastAsia="Calibri" w:hAnsi="Arial" w:cs="Arial"/>
          <w:sz w:val="20"/>
          <w:szCs w:val="20"/>
        </w:rPr>
        <w:t>enterohämorrhagischen</w:t>
      </w:r>
      <w:proofErr w:type="spellEnd"/>
      <w:r w:rsidRPr="00B64713">
        <w:rPr>
          <w:rFonts w:ascii="Arial" w:eastAsia="Calibri" w:hAnsi="Arial" w:cs="Arial"/>
          <w:sz w:val="20"/>
          <w:szCs w:val="20"/>
        </w:rPr>
        <w:t xml:space="preserve"> E. coli (EHEC)</w:t>
      </w:r>
    </w:p>
    <w:p w14:paraId="0A4E79F6"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dürfen nur mit Zustimmung des Gesundheitsamtes und unter Beachtung der gegenüber dem Ausscheider und der Gemeinschaftseinrichtung verfügten Schutzmaßnahmen die dem Betrieb der Gemeinschaftseinrichtung dienenden Räume betreten, Einrichtungen der Gemeinschaftseinrichtung benutzen und an Veranstaltungen der Gemeinschaftseinrichtung teilnehmen.</w:t>
      </w:r>
    </w:p>
    <w:p w14:paraId="7FA9791A"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(3) Absatz 1 Satz 1 und 2 gilt entsprechend für Personen, in deren Wohngemeinschaft nach ärztlichem Urteil eine Erkrankung an oder ein Verdacht auf</w:t>
      </w:r>
    </w:p>
    <w:p w14:paraId="2397D721"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 Cholera</w:t>
      </w:r>
    </w:p>
    <w:p w14:paraId="1324CA0F"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2. Diphtherie</w:t>
      </w:r>
    </w:p>
    <w:p w14:paraId="0568565A"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3. Enteritis durch </w:t>
      </w:r>
      <w:proofErr w:type="spellStart"/>
      <w:r w:rsidRPr="00B64713">
        <w:rPr>
          <w:rFonts w:ascii="Arial" w:eastAsia="Calibri" w:hAnsi="Arial" w:cs="Arial"/>
          <w:sz w:val="20"/>
          <w:szCs w:val="20"/>
        </w:rPr>
        <w:t>enterohämorrhagische</w:t>
      </w:r>
      <w:proofErr w:type="spellEnd"/>
      <w:r w:rsidRPr="00B64713">
        <w:rPr>
          <w:rFonts w:ascii="Arial" w:eastAsia="Calibri" w:hAnsi="Arial" w:cs="Arial"/>
          <w:sz w:val="20"/>
          <w:szCs w:val="20"/>
        </w:rPr>
        <w:t xml:space="preserve"> E. coli (EHEC)</w:t>
      </w:r>
    </w:p>
    <w:p w14:paraId="0EC57751"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4. virusbedingtem hämorrhagischem Fieber</w:t>
      </w:r>
    </w:p>
    <w:p w14:paraId="487F0FE1"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5. </w:t>
      </w:r>
      <w:proofErr w:type="spellStart"/>
      <w:r w:rsidRPr="00B64713">
        <w:rPr>
          <w:rFonts w:ascii="Arial" w:eastAsia="Calibri" w:hAnsi="Arial" w:cs="Arial"/>
          <w:sz w:val="20"/>
          <w:szCs w:val="20"/>
        </w:rPr>
        <w:t>Haemophilus</w:t>
      </w:r>
      <w:proofErr w:type="spellEnd"/>
      <w:r w:rsidRPr="00B64713">
        <w:rPr>
          <w:rFonts w:ascii="Arial" w:eastAsia="Calibri" w:hAnsi="Arial" w:cs="Arial"/>
          <w:sz w:val="20"/>
          <w:szCs w:val="20"/>
        </w:rPr>
        <w:t xml:space="preserve"> </w:t>
      </w:r>
      <w:proofErr w:type="spellStart"/>
      <w:r w:rsidRPr="00B64713">
        <w:rPr>
          <w:rFonts w:ascii="Arial" w:eastAsia="Calibri" w:hAnsi="Arial" w:cs="Arial"/>
          <w:sz w:val="20"/>
          <w:szCs w:val="20"/>
        </w:rPr>
        <w:t>influenzae</w:t>
      </w:r>
      <w:proofErr w:type="spellEnd"/>
      <w:r w:rsidRPr="00B64713">
        <w:rPr>
          <w:rFonts w:ascii="Arial" w:eastAsia="Calibri" w:hAnsi="Arial" w:cs="Arial"/>
          <w:sz w:val="20"/>
          <w:szCs w:val="20"/>
        </w:rPr>
        <w:t xml:space="preserve"> Typ b-Meningitis</w:t>
      </w:r>
    </w:p>
    <w:p w14:paraId="4D91001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6. ansteckungsfähiger Lungentuberkulose</w:t>
      </w:r>
    </w:p>
    <w:p w14:paraId="4EBCFB32"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7. Masern</w:t>
      </w:r>
    </w:p>
    <w:p w14:paraId="42FD97A3"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8. </w:t>
      </w:r>
      <w:proofErr w:type="spellStart"/>
      <w:r w:rsidRPr="00B64713">
        <w:rPr>
          <w:rFonts w:ascii="Arial" w:eastAsia="Calibri" w:hAnsi="Arial" w:cs="Arial"/>
          <w:sz w:val="20"/>
          <w:szCs w:val="20"/>
        </w:rPr>
        <w:t>Meningokokken</w:t>
      </w:r>
      <w:proofErr w:type="spellEnd"/>
      <w:r w:rsidRPr="00B64713">
        <w:rPr>
          <w:rFonts w:ascii="Arial" w:eastAsia="Calibri" w:hAnsi="Arial" w:cs="Arial"/>
          <w:sz w:val="20"/>
          <w:szCs w:val="20"/>
        </w:rPr>
        <w:t>-Infektion</w:t>
      </w:r>
    </w:p>
    <w:p w14:paraId="15AF2654"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9. Mumps</w:t>
      </w:r>
    </w:p>
    <w:p w14:paraId="7B5E1D62"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10. Paratyphus</w:t>
      </w:r>
    </w:p>
    <w:p w14:paraId="649A33A2"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11. Pest</w:t>
      </w:r>
    </w:p>
    <w:p w14:paraId="0ABBB196"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12. Poliomyelitis</w:t>
      </w:r>
    </w:p>
    <w:p w14:paraId="5D9871E6"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12a. Röteln</w:t>
      </w:r>
    </w:p>
    <w:p w14:paraId="3C567D6A"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13. </w:t>
      </w:r>
      <w:proofErr w:type="spellStart"/>
      <w:r w:rsidRPr="00B64713">
        <w:rPr>
          <w:rFonts w:ascii="Arial" w:eastAsia="Calibri" w:hAnsi="Arial" w:cs="Arial"/>
          <w:sz w:val="20"/>
          <w:szCs w:val="20"/>
        </w:rPr>
        <w:t>Shigellose</w:t>
      </w:r>
      <w:proofErr w:type="spellEnd"/>
    </w:p>
    <w:p w14:paraId="5D1624D2"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 xml:space="preserve">14. Typhus </w:t>
      </w:r>
      <w:proofErr w:type="spellStart"/>
      <w:r w:rsidRPr="00B64713">
        <w:rPr>
          <w:rFonts w:ascii="Arial" w:eastAsia="Calibri" w:hAnsi="Arial" w:cs="Arial"/>
          <w:sz w:val="20"/>
          <w:szCs w:val="20"/>
        </w:rPr>
        <w:t>abdominalis</w:t>
      </w:r>
      <w:proofErr w:type="spellEnd"/>
    </w:p>
    <w:p w14:paraId="358F79E9"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15. Virushepatitis A oder E</w:t>
      </w:r>
    </w:p>
    <w:p w14:paraId="5C44AF84"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16. Windpocken</w:t>
      </w:r>
    </w:p>
    <w:p w14:paraId="520E4CEB"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aufgetreten ist.</w:t>
      </w:r>
    </w:p>
    <w:p w14:paraId="09A9B7C7"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(4) Wenn die nach den Absätzen 1 bis 3 verpflichteten Personen geschäftsunfähig oder in der Geschäftsfähigkeit beschränkt sind, so hat derjenige für die Einhaltung der diese Personen nach den Absätzen 1 bis 3 treffenden Verpflichtungen zu sorgen, dem die Sorge für diese Person zusteht. Die gleiche Verpflichtung trifft den Betreuer einer von Verpflichtungen nach den Absätzen 1 bis 3 betroffenen Person, soweit die Erfüllung dieser Verpflichtungen zu seinem Aufgabenkreis gehört.</w:t>
      </w:r>
    </w:p>
    <w:p w14:paraId="4EFC100E"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(5) Wenn einer der in den Absätzen 1, 2 oder 3 genannten Tatbestände bei den in Absatz 1 genannten Personen auftritt, so haben diese Personen oder in den Fällen des Absatzes 4 der Sorgeinhaber der Gemeinschaftseinrichtung hiervon unverzüglich Mitteilung zu machen. Die Leitung der Gemeinschaftseinrichtung hat jede Person, die in der Gemeinschaftseinrichtung neu betreut wird, oder deren Sorgeberechtigte über die Pflichten nach Satz 1 zu belehren.</w:t>
      </w:r>
    </w:p>
    <w:p w14:paraId="3700BCDB"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(6) Werden Tatsachen bekannt, die das Vorliegen einer der in den Absätzen 1, 2 oder 3 aufgeführten Tatbestände annehmen lassen, so hat die Leitung der Gemeinschaftseinrichtung das Gesundheitsamt, in dessen Bezirk sich die Gemeinschaftseinrichtung befindet, unverzüglich zu benachrichtigen und krankheits- und personenbezogene Angaben zu machen. Dies gilt auch beim Auftreten von zwei oder mehr gleichartigen, schwerwiegenden Erkrankungen, wenn als deren Ursache Krankheitserreger anzunehmen sind. Eine Benachrichtigungspflicht besteht nicht, wenn der Leitung ein Nachweis darüber vorliegt, dass die Meldung des Sachverhalts nach § 6 bereits erfolgt ist.</w:t>
      </w:r>
    </w:p>
    <w:p w14:paraId="3259FA3F"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(7) Die zuständige Behörde kann im Einvernehmen mit dem Gesundheitsamt für die in § 33 genannten Einrichtungen Ausnahmen von dem Verbot nach Absatz 1, auch in Verbindung mit Absatz 3, zulassen, wenn Maßnahmen durchgeführt werden oder wurden, mit denen eine Übertragung der aufgeführten Erkrankungen oder der Verlausung verhütet werden kann.</w:t>
      </w:r>
    </w:p>
    <w:p w14:paraId="40E210D0"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(8) Das Gesundheitsamt kann gegenüber der Leitung der Gemeinschaftseinrichtung anordnen, dass das Auftreten einer Erkrankung oder eines hierauf gerichteten Verdachtes ohne Hinweis auf die Person in der Gemeinschaftseinrichtung bekannt gegeben wird.</w:t>
      </w:r>
    </w:p>
    <w:p w14:paraId="3BABD1CE"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(9) Wenn in Gemeinschaftseinrichtungen betreute Personen Krankheitserreger so in oder an sich tragen, dass im Einzelfall die Gefahr einer Weiterverbreitung besteht, kann die zuständige Behörde die notwendigen Schutzmaßnahmen anordnen.</w:t>
      </w:r>
    </w:p>
    <w:p w14:paraId="499CA84C"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(10) Die Gesundheitsämter und die in § 33 genannten Gemeinschaftseinrichtungen sollen die betreuten Personen oder deren Sorgeberechtigte gemeinsam über die Bedeutung eines vollständigen, altersgemäßen, nach den Empfehlungen der Ständigen Impfkommission ausreichenden Impfschutzes und über die Prävention übertragbarer Krankheiten aufklären.</w:t>
      </w:r>
    </w:p>
    <w:p w14:paraId="19F14AFF"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(10a) Bei der Erstaufnahme in eine Kindertageseinrichtung haben die Personensorgeberechtigten gegenüber dieser einen schriftlichen Nachweis darüber zu erbringen, dass zeitnah vor der Aufnahme eine ärztliche Beratung in Bezug auf einen vollständigen, altersgemäßen, nach den Empfehlungen der Ständigen Impfkommission ausreichenden Impfschutz des Kindes erfolgt ist. Wenn der Nachweis nicht erbracht wird, benachrichtigt die Leitung der Kindertageseinrichtung das Gesundheitsamt, in dessen Bezirk sich die Einrichtung befindet, und übermittelt dem Gesundheitsamt personenbezogene Angaben. Das Gesundheitsamt kann die Personensorgeberechtigten zu einer Beratung laden. Weitergehende landesrechtliche Regelungen bleiben unberührt.</w:t>
      </w:r>
    </w:p>
    <w:p w14:paraId="58D6D4E1"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(11) Bei Erstaufnahme in die erste Klasse einer allgemein bildenden Schule hat das Gesundheitsamt oder der von ihm beauftragte Arzt den Impfstatus zu erheben und die hierbei gewonnenen aggregierten und anonymisierten Daten über die oberste Landesgesundheitsbehörde dem Robert Koch-Institut zu übermitteln.</w:t>
      </w:r>
    </w:p>
    <w:p w14:paraId="44B19713" w14:textId="77777777" w:rsidR="00B64713" w:rsidRPr="00B64713" w:rsidRDefault="00B64713" w:rsidP="00B64713">
      <w:pPr>
        <w:spacing w:after="160" w:line="259" w:lineRule="auto"/>
        <w:rPr>
          <w:rFonts w:ascii="Arial" w:eastAsia="Calibri" w:hAnsi="Arial" w:cs="Arial"/>
          <w:b/>
          <w:bCs/>
          <w:sz w:val="20"/>
          <w:szCs w:val="20"/>
        </w:rPr>
      </w:pPr>
      <w:bookmarkStart w:id="2" w:name="BJNR104510000BJNE005200310"/>
      <w:bookmarkEnd w:id="2"/>
      <w:r w:rsidRPr="00B64713">
        <w:rPr>
          <w:rFonts w:ascii="Arial" w:eastAsia="Calibri" w:hAnsi="Arial" w:cs="Arial"/>
          <w:b/>
          <w:bCs/>
          <w:sz w:val="20"/>
          <w:szCs w:val="20"/>
        </w:rPr>
        <w:t>§ 35 Belehrung für Personen in der Betreuung von Kindern und Jugendlichen</w:t>
      </w:r>
    </w:p>
    <w:p w14:paraId="6BFD9DD9"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Personen, die in den in § 33 genannten Gemeinschaftseinrichtungen Lehr-, Erziehungs-, Pflege-, Aufsichts- oder sonstige regelmäßige Tätigkeiten ausüben und Kontakt mit den dort Betreuten haben, sind vor erstmaliger Aufnahme ihrer Tätigkeit und im Weiteren mindestens im Abstand von zwei Jahren von ihrem Arbeitgeber über die gesundheitlichen Anforderungen und Mitwirkungsverpflichtungen nach § 34 zu belehren. Über die Belehrung ist ein Protokoll zu erstellen, das beim Arbeitgeber für die Dauer von drei Jahren aufzubewahren ist. Die Sätze 1 und 2 finden für Dienstherren entsprechende Anwendung.</w:t>
      </w:r>
    </w:p>
    <w:p w14:paraId="7B9D87E3" w14:textId="77777777" w:rsidR="00BF3E76" w:rsidRDefault="00BF3E76" w:rsidP="00B64713">
      <w:pPr>
        <w:spacing w:after="160" w:line="259" w:lineRule="auto"/>
        <w:rPr>
          <w:rFonts w:ascii="Arial" w:eastAsia="Calibri" w:hAnsi="Arial" w:cs="Arial"/>
          <w:b/>
          <w:bCs/>
          <w:sz w:val="20"/>
          <w:szCs w:val="20"/>
        </w:rPr>
      </w:pPr>
      <w:bookmarkStart w:id="3" w:name="BJNR104510000BJNE005306116"/>
      <w:bookmarkEnd w:id="3"/>
    </w:p>
    <w:p w14:paraId="65730B9E" w14:textId="77777777" w:rsidR="00B64713" w:rsidRPr="00B64713" w:rsidRDefault="00B64713" w:rsidP="00B64713">
      <w:pPr>
        <w:spacing w:after="160" w:line="259" w:lineRule="auto"/>
        <w:rPr>
          <w:rFonts w:ascii="Arial" w:eastAsia="Calibri" w:hAnsi="Arial" w:cs="Arial"/>
          <w:b/>
          <w:bCs/>
          <w:sz w:val="20"/>
          <w:szCs w:val="20"/>
        </w:rPr>
      </w:pPr>
      <w:r w:rsidRPr="00B64713">
        <w:rPr>
          <w:rFonts w:ascii="Arial" w:eastAsia="Calibri" w:hAnsi="Arial" w:cs="Arial"/>
          <w:b/>
          <w:bCs/>
          <w:sz w:val="20"/>
          <w:szCs w:val="20"/>
        </w:rPr>
        <w:t>§ 36 Infektionsschutz bei bestimmten Einrichtungen, Unternehmen und Personen; Verordnungsermächtigung</w:t>
      </w:r>
    </w:p>
    <w:p w14:paraId="0991ABDB"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 Folgende Einrichtungen und Unternehmen müssen in Hygieneplänen innerbetriebliche Verfahrensweisen zur Infektionshygiene festlegen und unterliegen der infektionshygienischen Überwachung durch das Gesundheitsamt:</w:t>
      </w:r>
    </w:p>
    <w:p w14:paraId="347AA2E9"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 die in § 33 genannten Gemeinschaftseinrichtungen mit Ausnahme der Gemeinschaftseinrichtungen nach § 33 Nummer 2,</w:t>
      </w:r>
    </w:p>
    <w:p w14:paraId="5FC8A0E1"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2. nicht unter § 23 Absatz 5 Satz 1 fallende voll- oder teilstationäre Einrichtungen zur Betreuung und Unterbringung älterer, behinderter oder pflegebedürftiger Menschen oder vergleichbare Einrichtungen,</w:t>
      </w:r>
    </w:p>
    <w:p w14:paraId="2ED0C89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3. Obdachlosenunterkünfte,</w:t>
      </w:r>
    </w:p>
    <w:p w14:paraId="1AABC4BD"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4. Einrichtungen zur gemeinschaftlichen Unterbringung von Asylbewerbern, vollziehbar Ausreisepflichtigen, Flüchtlingen und Spätaussiedlern,</w:t>
      </w:r>
    </w:p>
    <w:p w14:paraId="4AA73A83"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5. sonstige Massenunterkünfte,</w:t>
      </w:r>
    </w:p>
    <w:p w14:paraId="0C7C81BE"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6. Justizvollzugsanstalten sowie</w:t>
      </w:r>
    </w:p>
    <w:p w14:paraId="1F8A1ACF"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7. nicht unter § 23 Absatz 5 Satz 1 fallende ambulante Pflegedienste und Unternehmen, die den Einrichtungen nach Nummer 2 vergleichbare Dienstleistungen anbieten; Angebote zur Unterstützung im Alltag im Sinne von § 45a Absatz 1 Satz 2 des Elften Buches Sozialgesetzbuch zählen nicht zu den Dienstleistungen, die mit Angeboten in Einrichtungen nach Nummer 2 vergleichbar sind.</w:t>
      </w:r>
    </w:p>
    <w:p w14:paraId="1033474D"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(2) Einrichtungen und Unternehmen, bei denen die Möglichkeit besteht, dass durch Tätigkeiten am Menschen durch Blut Krankheitserreger übertragen werden, sowie Gemeinschaftseinrichtungen nach § 33 Nummer 2 können durch das Gesundheitsamt infektionshygienisch überwacht werden.</w:t>
      </w:r>
    </w:p>
    <w:p w14:paraId="1A430F1F"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(3) (weggefallen)</w:t>
      </w:r>
    </w:p>
    <w:p w14:paraId="19A7C9F1"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(3a) Die Leiter von in Absatz 1 Nummer 2 bis 6 genannten Einrichtungen haben das Gesundheitsamt, in dessen Bezirk sich die Einrichtung befindet, unverzüglich zu benachrichtigen und die nach diesem Gesetz erforderlichen krankheits- und personenbezogenen Angaben zu machen, wenn eine in der Einrichtung tätige oder untergebrachte Person an Skabies erkrankt ist oder bei ihr der Verdacht besteht, dass sie an Skabies erkrankt ist.</w:t>
      </w:r>
    </w:p>
    <w:p w14:paraId="54FAE66F"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(4) Personen, die in eine Einrichtung nach Absatz 1 Nummer 2 bis 4 aufgenommen werden sollen, haben der Leitung der Einrichtung vor oder unverzüglich nach ihrer Aufnahme ein ärztliches Zeugnis darüber vorzulegen, dass bei ihnen keine Anhaltspunkte für das Vorliegen einer ansteckungsfähigen Lungentuberkulose vorhanden sind. Bei der erstmaligen Aufnahme darf die Erhebung der Befunde, die dem ärztlichen Zeugnis zugrunde liegt, nicht länger als sechs Monate zurückliegen, bei einer erneuten Aufnahme darf sie nicht länger als zwölf Monate zurückliegen. Bei Personen, die in eine Einrichtung nach Absatz 1 Nummer 4 aufgenommen werden sollen, muss sich das Zeugnis auf eine im Geltungsbereich dieses Gesetzes erstellte Röntgenaufnahme der Lunge oder auf andere von der obersten Landesgesundheitsbehörde oder der von ihr bestimmten Stelle zugelassene Befunde stützen. Bei Personen, die das 15. Lebensjahr noch nicht vollendet haben, sowie bei Schwangeren ist von der Röntgenaufnahme abzusehen; stattdessen ist ein ärztliches Zeugnis vorzulegen, dass nach sonstigen Befunden eine ansteckungsfähige Lungentuberkulose nicht zu befürchten ist. § 34 Absatz 4 gilt entsprechend. Satz 1 gilt nicht für Obdachlose, die weniger als drei Tage in eine Einrichtung nach Absatz 1 Nummer 3 aufgenommen werden.</w:t>
      </w:r>
    </w:p>
    <w:p w14:paraId="38671FE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(5) Personen, die in eine Einrichtung nach Absatz 1 Nummer 4 aufgenommen werden sollen, sind verpflichtet, eine ärztliche Untersuchung auf Ausschluss einer ansteckungsfähigen Lungentuberkulose einschließlich einer Röntgenaufnahme der Atmungsorgane zu dulden. Dies gilt nicht, wenn die betroffenen Personen ein ärztliches Zeugnis nach Absatz 4 vorlegen oder unmittelbar vor ihrer Aufnahme in einer anderen Einrichtung nach Absatz 1 Nummer 4 untergebracht waren und die entsprechenden Untersuchungen bereits dort durchgeführt wurden. Personen, die in eine Justizvollzugsanstalt aufgenommen werden, sind verpflichtet, eine ärztliche Untersuchung auf übertragbare Krankheiten einschließlich einer Röntgenaufnahme der Lunge zu dulden. Für Untersuchungen nach den Sätzen 1 und 3 gilt Absatz 4 Satz 4 entsprechend. Widerspruch und Anfechtungsklage gegen Anordnungen nach den Sätzen 1 und 3 haben keine aufschiebende Wirkung.</w:t>
      </w:r>
    </w:p>
    <w:p w14:paraId="673F596C"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(6) Die Landesregierungen werden ermächtigt, durch Rechtsverordnung festzulegen, dass Personen, die nach dem 31. Dezember 2018 in die Bundesrepublik Deutschland eingereist sind und die auf Grund ihrer Herkunft oder ihrer Lebenssituation wahrscheinlich einem erhöhten Infektionsrisiko für bestimmte bedrohliche übertragbare Krankheiten ausgesetzt waren, nach ihrer Einreise ein ärztliches Zeugnis darüber vorzulegen haben, dass bei ihnen keine Anhaltspunkte für das Vorliegen solcher bedrohlicher übertragbarer Krankheiten vorhanden sind, sofern dies zum Schutz der Bevölkerung vor einer Gefährdung durch bedrohliche übertragbare Krankheiten erforderlich ist; § 34 Absatz 4 gilt entsprechend. Personen, die kein auf Grund der Rechtsverordnung erforderliches ärztliches Zeugnis vorlegen, sind verpflichtet, eine ärztliche Untersuchung auf Ausschluss bedrohlicher übertragbarer Krankheiten im Sinne des Satzes 1 zu dulden; Absatz 5 Satz 5 gilt entsprechend. In der Rechtsverordnung nach Satz 1 ist zu bestimmen:</w:t>
      </w:r>
    </w:p>
    <w:p w14:paraId="04567E26"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 das jeweils zugrundeliegende erhöhte Infektionsrisiko im Hinblick auf bestimmte bedrohliche übertragbare Krankheiten,</w:t>
      </w:r>
    </w:p>
    <w:p w14:paraId="0532193A"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2. die jeweils betroffenen Personengruppen unter Berücksichtigung ihrer Herkunft oder ihrer Lebenssituation,</w:t>
      </w:r>
    </w:p>
    <w:p w14:paraId="6DFE79FE"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3. Anforderungen an das ärztliche Zeugnis nach Satz 1 und zu der ärztlichen Untersuchung nach Satz 2 sowie</w:t>
      </w:r>
    </w:p>
    <w:p w14:paraId="569B00C1"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4. die Frist, innerhalb der das ärztliche Zeugnis nach der Einreise in die Bundesrepublik Deutschland vorzulegen ist.</w:t>
      </w:r>
    </w:p>
    <w:p w14:paraId="1378D32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Das Robert Koch-Institut kann zu den Einzelheiten nach Satz 3 Nummer 1 Empfehlungen abgeben. Die Landesregierungen können die Ermächtigung nach Satz 1 durch Rechtsverordnung auf andere Stellen übertragen.</w:t>
      </w:r>
    </w:p>
    <w:p w14:paraId="1D48DC8E"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(7) Das Bundesministerium für Gesundheit wird ermächtigt, durch Rechtsverordnung mit Zustimmung des Bundesrates festzulegen, dass Personen, die in die Bundesrepublik Deutschland einreisen wollen oder eingereist sind und die wahrscheinlich einem erhöhten Infektionsrisiko für eine bestimmte bedrohliche übertragbare Krankheit ausgesetzt waren, vor oder nach ihrer Einreise ein ärztliches Zeugnis darüber vorzulegen haben, dass bei ihnen keine Anhaltspunkte für das Vorliegen einer solchen bedrohlichen übertragbaren Krankheit vorhanden sind, sofern dies zum Schutz der Bevölkerung vor einer Gefährdung durch bedrohliche übertragbare Krankheiten erforderlich ist; § 34 Absatz 4 gilt entsprechend. Personen, die kein auf Grund der Rechtsverordnung erforderliches ärztliches Zeugnis vorlegen, sind verpflichtet, eine ärztliche Untersuchung auf Ausschluss einer bedrohlichen übertragbaren Krankheit im Sinne des Satzes 1 zu dulden; Absatz 5 Satz 5 gilt entsprechend. In der Rechtsverordnung können nähere Einzelheiten insbesondere zu den betroffenen Personengruppen und zu den Anforderungen an das ärztliche Zeugnis nach Satz 1 und zu der ärztlichen Untersuchung nach Satz 2 bestimmt werden. Das Robert Koch-Institut kann zu den Einzelheiten nach Satz 3 Empfehlungen abgeben. In dringenden Fällen kann zum Schutz der Bevölkerung die Rechtsverordnung ohne Zustimmung des Bundesrates erlassen werden. Eine auf der Grundlage des Satzes 5 erlassene Verordnung tritt ein Jahr nach ihrem Inkrafttreten außer Kraft; ihre Geltungsdauer kann mit Zustimmung des Bundesrates verlängert werden.</w:t>
      </w:r>
    </w:p>
    <w:p w14:paraId="0F41EA36"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(8) Die Bundesregierung wird, sofern der Deutsche Bundestag nach § 5 Absatz 1 Satz 1 eine epidemische Lage von nationaler Tragweite festgestellt hat, ermächtigt, durch Rechtsverordnung ohne Zustimmung des Bundesrates festzulegen, dass Personen, die in die Bundesrepublik Deutschland einreisen wollen oder eingereist sind und bei denen die Möglichkeit besteht, dass sie einem erhöhten Infektionsrisiko für die Krankheit ausgesetzt waren, die zur Feststellung der epidemischen Lage von nationaler Tragweite geführt hat, insbesondere, weil sie sich in einem entsprechenden Risikogebiet aufgehalten haben, ausschließlich zur Feststellung und Verhinderung der Verbreitung dieser Krankheit verpflichtet sind, der zuständigen Behörde ihre personenbezogenen Angaben, das Datum ihrer voraussichtlichen Einreise, ihre Aufenthaltsorte bis zu zehn Tage vor und nach der Einreise und das für die Einreise genutzte Reisemittel durch Nutzung des vom Robert Koch-Institut nach Absatz 9 eingerichteten elektronischen Melde- und Informationssystems mitzuteilen. In der Rechtsverordnung ist auch zu bestimmen, in welchen Fällen Ausnahmen von der Verpflichtung nach Satz 1 bestehen. Es kann festgelegt werden, dass, soweit eine Ausnahme vorliegt, anstelle der Nutzung des vom Robert Koch-Institut nach Absatz 9 eingerichteten elektronischen Melde- und Informationssystems eine schriftliche Ersatzmitteilung gegenüber der zuständigen Behörde vorzunehmen ist. § 34 Absatz 4 gilt für die durch die Rechtsverordnung nach den Sätzen 1 und 3 festgelegte Verpflichtung entsprechend.</w:t>
      </w:r>
    </w:p>
    <w:p w14:paraId="6EC2DD0D"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(9) Das Robert Koch-Institut richtet für die Zwecke des Absatzes 8 Satz 1 ein elektronisches Melde- und Informationssystem ein und ist verantwortlich für dessen technischen Betrieb. Das Robert Koch-Institut kann einen IT-Dienstleister mit der technischen Umsetzung beauftragen. Die aufgrund einer Rechtsverordnung nach Absatz 8 Satz 1 erhobenen Daten dürfen von der zuständigen Behörde nur für Zwecke der Überwachung der Absonderung und der Kontaktnachverfolgung verarbeitet werden. Sie sind spätestens 14 Tage nach dem mitgeteilten Datum der Einreise der jeweils betroffenen Person zu löschen.</w:t>
      </w:r>
    </w:p>
    <w:p w14:paraId="44A727D8"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(10) Die Bunderegierung wird, sofern der Deutsche Bundestag nach § 5 Absatz 1 Satz 1 eine epidemische Lage von nationaler Tragweite festgestellt hat, ermächtigt, durch Rechtsverordnung ohne Zustimmung des Bundesrates festzulegen,</w:t>
      </w:r>
    </w:p>
    <w:p w14:paraId="5BB06781"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 dass die in einer Rechtsverordnung nach Absatz 8 Satz 1 genannten Personen verpflichtet sind, gegenüber den Beförderern, gegenüber der zuständigen Behörde oder gegenüber den diese Behörde nach Maßgabe des Absatzes 11 Satz 1 unterstützenden, mit der polizeilichen Kontrolle des grenzüberschreitenden Verkehrs beauftragten Behörden</w:t>
      </w:r>
    </w:p>
    <w:p w14:paraId="197F9822"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a) einen Nachweis über die Erfüllung der in einer Rechtsverordnung nach Absatz 8 Satz 1 festgelegten Verpflichtung oder die Ersatzmitteilung nach Absatz 8 Satz 3 vorzulegen,</w:t>
      </w:r>
    </w:p>
    <w:p w14:paraId="4EFC02C7"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b) eine Impfdokumentation hinsichtlich der in Absatz 8 Satz 1 genannten Krankheit vorzulegen,</w:t>
      </w:r>
    </w:p>
    <w:p w14:paraId="35036F80"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c) ein ärztliches Zeugnis oder ein Testergebnis hinsichtlich des Nichtvorliegens der in Absatz 8 Satz 1 genannten Krankheit vorzulegen,</w:t>
      </w:r>
    </w:p>
    <w:p w14:paraId="5FD947DB"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d) Auskunft darüber zu geben, ob bei ihnen Anhaltspunkte für die in Absatz 8 Satz 1 genannte Krankheit vorhanden sind;</w:t>
      </w:r>
    </w:p>
    <w:p w14:paraId="2DA68BE7"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2. dass Unternehmen, die im Eisenbahn</w:t>
      </w:r>
      <w:proofErr w:type="gramStart"/>
      <w:r w:rsidRPr="00B64713">
        <w:rPr>
          <w:rFonts w:ascii="Arial" w:eastAsia="Calibri" w:hAnsi="Arial" w:cs="Arial"/>
          <w:sz w:val="20"/>
          <w:szCs w:val="20"/>
        </w:rPr>
        <w:t>-,Bus</w:t>
      </w:r>
      <w:proofErr w:type="gramEnd"/>
      <w:r w:rsidRPr="00B64713">
        <w:rPr>
          <w:rFonts w:ascii="Arial" w:eastAsia="Calibri" w:hAnsi="Arial" w:cs="Arial"/>
          <w:sz w:val="20"/>
          <w:szCs w:val="20"/>
        </w:rPr>
        <w:t>-, Schiffs- oder Flugverkehr Reisende befördern, Betreiber von Flugplätzen, Häfen, Personenbahnhöfen und Omnibusbahnhöfen im Rahmen ihrer betrieblichen und technischen Möglichkeiten ausschließlich zur Feststellung und Verhinderung der Verbreitung der in Absatz 8 Satz 1 genannten Krankheit, bei der Durchführung der Rechtsverordnung nach Nummer 1 mitzuwirken haben, und verpflichtet sind,</w:t>
      </w:r>
    </w:p>
    <w:p w14:paraId="6951F39C"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a) Beförderungen aus einem entsprechenden Risikogebiet in die Bundesrepublik Deutschland zu unterlassen, sofern eine Rückreise von Personen mit Wohnsitz in Deutschland weiterhin möglich ist, deren Einreise nicht aus aufenthaltsrechtlichen Gründen zu untersagen ist,</w:t>
      </w:r>
    </w:p>
    <w:p w14:paraId="07FB879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b) Beförderungen aus einem Risikogebiet in die Bundesrepublik Deutschland nur dann durchzuführen, wenn die zu befördernden Personen den nach Nummer 1 auferlegten Verpflichtungen vor der Beförderung nachgekommen sind,</w:t>
      </w:r>
    </w:p>
    <w:p w14:paraId="578D25C9"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c) Reisende über die geltenden Einreise- und Infektionsschutzbestimmungen und -</w:t>
      </w:r>
      <w:proofErr w:type="spellStart"/>
      <w:r w:rsidRPr="00B64713">
        <w:rPr>
          <w:rFonts w:ascii="Arial" w:eastAsia="Calibri" w:hAnsi="Arial" w:cs="Arial"/>
          <w:sz w:val="20"/>
          <w:szCs w:val="20"/>
        </w:rPr>
        <w:t>maßnahmen</w:t>
      </w:r>
      <w:proofErr w:type="spellEnd"/>
      <w:r w:rsidRPr="00B64713">
        <w:rPr>
          <w:rFonts w:ascii="Arial" w:eastAsia="Calibri" w:hAnsi="Arial" w:cs="Arial"/>
          <w:sz w:val="20"/>
          <w:szCs w:val="20"/>
        </w:rPr>
        <w:t xml:space="preserve"> in der Bundesrepublik Deutschland und die Gefahren der in Absatz 8 Satz 1 genannten Krankheit sowie die Möglichkeiten zu deren Verhütung und Bekämpfung barrierefrei zu informieren und in diesem Rahmen auf die Reise- und Sicherheitshinweise des Auswärtigen Amts hinzuweisen,</w:t>
      </w:r>
    </w:p>
    <w:p w14:paraId="5CEF74DF"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d) die zur Identifizierung einer Person oder zur Früherkennung von Kranken, Krankheitsverdächtigen, Ansteckungsverdächtigen und Ausscheidern notwendigen personenbezogenen Angaben zu erheben und an die für den Aufenthaltsort der betreffenden Person nach diesem Gesetz zuständige Behörde zu übermitteln,</w:t>
      </w:r>
    </w:p>
    <w:p w14:paraId="69637B9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e) bestimmte Schutzmaßnahmen zur Verhinderung der Übertragung der in Absatz 8 Satz 1 genannten Krankheit im Rahmen der Beförderung vorzunehmen,</w:t>
      </w:r>
    </w:p>
    <w:p w14:paraId="2888E48A"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f) die Beförderung von Kranken, Krankheitsverdächtigen, Ansteckungsverdächtigen und Ausscheidern der zuständigen Behörde zu melden,</w:t>
      </w:r>
    </w:p>
    <w:p w14:paraId="26B43AB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g) Passagierlisten und Sitzpläne auf Nachfrage der zuständigen Behörde zu übermitteln,</w:t>
      </w:r>
    </w:p>
    <w:p w14:paraId="6B3CEA8C"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h) den Transport von Kranken, Krankheitsverdächtigen, Ansteckungsverdächtigen oder Ausscheidern, in ein Krankenhaus oder in eine andere geeignete Einrichtung durch Dritte zu ermöglichen,</w:t>
      </w:r>
    </w:p>
    <w:p w14:paraId="1AFEF0ED"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i) gegenüber dem Robert Koch-Institut eine für Rückfragen der zuständigen Behörden erreichbare Kontaktstelle zu benennen;</w:t>
      </w:r>
    </w:p>
    <w:p w14:paraId="416D7583"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3. dass Anbieter von Telekommunikationsdiensten und Betreiber öffentlicher Mobilfunknetze verpflichtet sind, Einreisende barrierefrei über elektronische Nachrichten über die geltenden Einreise- und Infektionsschutzbestimmungen und -</w:t>
      </w:r>
      <w:proofErr w:type="spellStart"/>
      <w:r w:rsidRPr="00B64713">
        <w:rPr>
          <w:rFonts w:ascii="Arial" w:eastAsia="Calibri" w:hAnsi="Arial" w:cs="Arial"/>
          <w:sz w:val="20"/>
          <w:szCs w:val="20"/>
        </w:rPr>
        <w:t>maßnahmen</w:t>
      </w:r>
      <w:proofErr w:type="spellEnd"/>
      <w:r w:rsidRPr="00B64713">
        <w:rPr>
          <w:rFonts w:ascii="Arial" w:eastAsia="Calibri" w:hAnsi="Arial" w:cs="Arial"/>
          <w:sz w:val="20"/>
          <w:szCs w:val="20"/>
        </w:rPr>
        <w:t xml:space="preserve"> in der Bundesrepublik Deutschland zu informieren.</w:t>
      </w:r>
    </w:p>
    <w:p w14:paraId="1F41EC06"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Personen, die kein aufgrund der Rechtsverordnung nach Satz 1 Nummer 1 erforderliches ärztliches Zeugnis oder erforderliches Testergebnis vorlegen, sind verpflichtet, eine ärztliche Untersuchung auf Ausschluss der in Absatz 8 Satz 1 genannten Krankheit zu dulden. § 34 Absatz 4 gilt für die durch die Rechtsverordnung nach Satz 1 Nummer 1 festgelegten Verpflichtungen entsprechend.</w:t>
      </w:r>
    </w:p>
    <w:p w14:paraId="3F0855F5"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(11) Die mit der polizeilichen Kontrolle des grenzüberschreitenden Verkehrs beauftragten Behörden können anlässlich der grenzpolizeilichen Aufgabenwahrnehmung als unterstützende Behörde nach Absatz 10 Satz 1 Nummer 1 stichprobenhaft von den in der Rechtsverordnung nach Absatz 8 Satz 1 genannten Personen verlangen, dass sie ihnen die in Absatz 10 Satz 1 Nummer 1 Buchstabe a bis c genannten Nachweise oder Dokumente vorlegen oder ihnen Auskunft nach Absatz 10 Satz 1 Nummer 1 Buchstabe d erteilen. Die unterstützenden Behörden nach Absatz 10 Satz 1 Nummer 1 unterrichten bei Kenntnis unverzüglich die zuständigen Behörden über die Einreise der in der Rechtsverordnung nach Absatz 8 Satz 1 genannten Personen, soweit diese ihren den unterstützenden Behörden gegenüber bestehenden in der Rechtsverordnung nach Absatz 10 Satz 1 Nummer 1 festgelegten Verpflichtungen bei der Einreise nicht nachkommen. Zu diesem Zweck dürfen bei den in der Rechtsverordnung nach Absatz 8 Satz 1 genannten Personen ihre personenbezogenen Angaben, Angaben zu ihren Aufenthaltsorten bis zu zehn Tage vor und nach der Einreise und Angaben zu dem von ihnen genutzten Reisemittel erhoben und der zuständigen Behörde übermittelt werden. Die nach § 71 Absatz 1 Satz 1 des Aufenthaltsgesetzes zuständigen Behörden und die unterstützenden Behörden nach Absatz 10 Satz 1 Nummer 1 unterrichten bei Kenntnis unverzüglich die zuständigen Behörden über die Einreise der in der Rechtsverordnung nach Absatz 6 Satz 1 oder nach Absatz 7 Satz 1 genannten Personen. Zu diesem Zweck dürfen bei diesen Personen ihre personenbezogenen Angaben erhoben und der zuständigen Behörde übermittelt werden. Die von den Behörden nach den Sätzen 1, 3 und 5 erhobenen Daten dürfen mit den Daten vorgelegter Reisedokumente abgeglichen werden.</w:t>
      </w:r>
    </w:p>
    <w:p w14:paraId="3DD65F30"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(12) Eine aufgrund des Absatzes 8 Satz 1 oder des Absatzes 10 Satz 1 erlassene Rechtsverordnung tritt mit der Aufhebung der Feststellung der epidemischen Lage von nationaler Tragweite durch den Deutschen Bundestag nach § 5 Absatz 1 Satz 2 außer Kraft, ansonsten spätestens mit Ablauf des 31. März 2021.</w:t>
      </w:r>
    </w:p>
    <w:p w14:paraId="640E7D57" w14:textId="77777777" w:rsidR="00B64713" w:rsidRPr="00B64713" w:rsidRDefault="00B64713" w:rsidP="00B64713">
      <w:pPr>
        <w:spacing w:after="160" w:line="259" w:lineRule="auto"/>
        <w:rPr>
          <w:rFonts w:ascii="Arial" w:eastAsia="Calibri" w:hAnsi="Arial" w:cs="Arial"/>
          <w:sz w:val="20"/>
          <w:szCs w:val="20"/>
        </w:rPr>
      </w:pPr>
      <w:r w:rsidRPr="00B64713">
        <w:rPr>
          <w:rFonts w:ascii="Arial" w:eastAsia="Calibri" w:hAnsi="Arial" w:cs="Arial"/>
          <w:sz w:val="20"/>
          <w:szCs w:val="20"/>
        </w:rPr>
        <w:t>(13) Durch die Absätze 4 bis 7 und 10 werden die Grundrechte der körperlichen Unversehrtheit (Artikel 2 Absatz 2 Satz 1 des Grundgesetzes) und der Freizügigkeit (Artikel 11 Absatz 1 des Grundgesetzes) eingeschränkt.</w:t>
      </w:r>
    </w:p>
    <w:p w14:paraId="1AEB68B2" w14:textId="77777777" w:rsidR="00B64713" w:rsidRPr="00B64713" w:rsidRDefault="00B64713" w:rsidP="00B64713">
      <w:pPr>
        <w:spacing w:after="160" w:line="259" w:lineRule="auto"/>
        <w:rPr>
          <w:rFonts w:ascii="Arial" w:eastAsia="Calibri" w:hAnsi="Arial" w:cs="Arial"/>
          <w:sz w:val="20"/>
          <w:szCs w:val="20"/>
        </w:rPr>
      </w:pPr>
    </w:p>
    <w:p w14:paraId="541C3254" w14:textId="77777777" w:rsidR="00457981" w:rsidRPr="005C22CF" w:rsidRDefault="00457981" w:rsidP="00457981">
      <w:pPr>
        <w:spacing w:line="240" w:lineRule="auto"/>
        <w:ind w:left="284" w:hanging="284"/>
        <w:rPr>
          <w:rFonts w:ascii="Times New Roman" w:hAnsi="Times New Roman" w:cs="Times New Roman"/>
          <w:sz w:val="24"/>
          <w:szCs w:val="24"/>
        </w:rPr>
      </w:pPr>
    </w:p>
    <w:sectPr w:rsidR="00457981" w:rsidRPr="005C22CF">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BE295" w14:textId="77777777" w:rsidR="00FE4715" w:rsidRDefault="00FE4715" w:rsidP="005C22CF">
      <w:pPr>
        <w:spacing w:after="0" w:line="240" w:lineRule="auto"/>
      </w:pPr>
      <w:r>
        <w:separator/>
      </w:r>
    </w:p>
  </w:endnote>
  <w:endnote w:type="continuationSeparator" w:id="0">
    <w:p w14:paraId="7392BD48" w14:textId="77777777" w:rsidR="00FE4715" w:rsidRDefault="00FE4715" w:rsidP="005C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46078"/>
      <w:docPartObj>
        <w:docPartGallery w:val="Page Numbers (Bottom of Page)"/>
        <w:docPartUnique/>
      </w:docPartObj>
    </w:sdtPr>
    <w:sdtContent>
      <w:p w14:paraId="31316822" w14:textId="77777777" w:rsidR="00BF3E76" w:rsidRDefault="00BF3E76">
        <w:pPr>
          <w:pStyle w:val="Fuzeile"/>
          <w:jc w:val="center"/>
        </w:pPr>
        <w:r>
          <w:fldChar w:fldCharType="begin"/>
        </w:r>
        <w:r>
          <w:instrText>PAGE   \* MERGEFORMAT</w:instrText>
        </w:r>
        <w:r>
          <w:fldChar w:fldCharType="separate"/>
        </w:r>
        <w:r>
          <w:rPr>
            <w:noProof/>
          </w:rPr>
          <w:t>8</w:t>
        </w:r>
        <w:r>
          <w:fldChar w:fldCharType="end"/>
        </w:r>
      </w:p>
    </w:sdtContent>
  </w:sdt>
  <w:p w14:paraId="4F74B731" w14:textId="77777777" w:rsidR="00BF3E76" w:rsidRDefault="00BF3E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9FA46" w14:textId="77777777" w:rsidR="00FE4715" w:rsidRDefault="00FE4715" w:rsidP="005C22CF">
      <w:pPr>
        <w:spacing w:after="0" w:line="240" w:lineRule="auto"/>
      </w:pPr>
      <w:r>
        <w:separator/>
      </w:r>
    </w:p>
  </w:footnote>
  <w:footnote w:type="continuationSeparator" w:id="0">
    <w:p w14:paraId="30EA5728" w14:textId="77777777" w:rsidR="00FE4715" w:rsidRDefault="00FE4715" w:rsidP="005C2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2CBCC" w14:textId="77777777" w:rsidR="003A466B" w:rsidRPr="003A466B" w:rsidRDefault="003A466B">
    <w:pPr>
      <w:pStyle w:val="Kopfzeile"/>
      <w:rPr>
        <w:rFonts w:ascii="Arial" w:hAnsi="Arial" w:cs="Arial"/>
      </w:rPr>
    </w:pPr>
  </w:p>
  <w:p w14:paraId="5071064F" w14:textId="77777777" w:rsidR="005C22CF" w:rsidRDefault="005C22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CF"/>
    <w:rsid w:val="00001015"/>
    <w:rsid w:val="000B2B03"/>
    <w:rsid w:val="00104A8F"/>
    <w:rsid w:val="00116ECC"/>
    <w:rsid w:val="001357E9"/>
    <w:rsid w:val="00187946"/>
    <w:rsid w:val="0028075A"/>
    <w:rsid w:val="0029608F"/>
    <w:rsid w:val="003002C3"/>
    <w:rsid w:val="00382754"/>
    <w:rsid w:val="003A466B"/>
    <w:rsid w:val="00457981"/>
    <w:rsid w:val="004C495E"/>
    <w:rsid w:val="00554C4A"/>
    <w:rsid w:val="005C22CF"/>
    <w:rsid w:val="005E3746"/>
    <w:rsid w:val="00623848"/>
    <w:rsid w:val="006F0C77"/>
    <w:rsid w:val="007465B1"/>
    <w:rsid w:val="00957F9F"/>
    <w:rsid w:val="00960B93"/>
    <w:rsid w:val="009A531B"/>
    <w:rsid w:val="00A15325"/>
    <w:rsid w:val="00A62459"/>
    <w:rsid w:val="00AC7887"/>
    <w:rsid w:val="00B64713"/>
    <w:rsid w:val="00BF3E76"/>
    <w:rsid w:val="00C20568"/>
    <w:rsid w:val="00C23D98"/>
    <w:rsid w:val="00C774E3"/>
    <w:rsid w:val="00CA15C8"/>
    <w:rsid w:val="00CB1F26"/>
    <w:rsid w:val="00CC1D2B"/>
    <w:rsid w:val="00CD23E9"/>
    <w:rsid w:val="00CE225F"/>
    <w:rsid w:val="00D80227"/>
    <w:rsid w:val="00DE1ED6"/>
    <w:rsid w:val="00E70106"/>
    <w:rsid w:val="00F13662"/>
    <w:rsid w:val="00FC3860"/>
    <w:rsid w:val="00FE47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0860F1"/>
  <w15:docId w15:val="{8D4A26B7-15CC-4727-91B3-9A3AFAE1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22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22CF"/>
  </w:style>
  <w:style w:type="paragraph" w:styleId="Fuzeile">
    <w:name w:val="footer"/>
    <w:basedOn w:val="Standard"/>
    <w:link w:val="FuzeileZchn"/>
    <w:uiPriority w:val="99"/>
    <w:unhideWhenUsed/>
    <w:rsid w:val="005C22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22CF"/>
  </w:style>
  <w:style w:type="paragraph" w:styleId="Sprechblasentext">
    <w:name w:val="Balloon Text"/>
    <w:basedOn w:val="Standard"/>
    <w:link w:val="SprechblasentextZchn"/>
    <w:uiPriority w:val="99"/>
    <w:semiHidden/>
    <w:unhideWhenUsed/>
    <w:rsid w:val="005C22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2CF"/>
    <w:rPr>
      <w:rFonts w:ascii="Tahoma" w:hAnsi="Tahoma" w:cs="Tahoma"/>
      <w:sz w:val="16"/>
      <w:szCs w:val="16"/>
    </w:rPr>
  </w:style>
  <w:style w:type="table" w:styleId="Tabellenraster">
    <w:name w:val="Table Grid"/>
    <w:basedOn w:val="NormaleTabelle"/>
    <w:uiPriority w:val="59"/>
    <w:rsid w:val="0045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16ECC"/>
    <w:rPr>
      <w:sz w:val="16"/>
      <w:szCs w:val="16"/>
    </w:rPr>
  </w:style>
  <w:style w:type="paragraph" w:styleId="Kommentartext">
    <w:name w:val="annotation text"/>
    <w:basedOn w:val="Standard"/>
    <w:link w:val="KommentartextZchn"/>
    <w:uiPriority w:val="99"/>
    <w:semiHidden/>
    <w:unhideWhenUsed/>
    <w:rsid w:val="00116E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6ECC"/>
    <w:rPr>
      <w:sz w:val="20"/>
      <w:szCs w:val="20"/>
    </w:rPr>
  </w:style>
  <w:style w:type="paragraph" w:styleId="Kommentarthema">
    <w:name w:val="annotation subject"/>
    <w:basedOn w:val="Kommentartext"/>
    <w:next w:val="Kommentartext"/>
    <w:link w:val="KommentarthemaZchn"/>
    <w:uiPriority w:val="99"/>
    <w:semiHidden/>
    <w:unhideWhenUsed/>
    <w:rsid w:val="00116ECC"/>
    <w:rPr>
      <w:b/>
      <w:bCs/>
    </w:rPr>
  </w:style>
  <w:style w:type="character" w:customStyle="1" w:styleId="KommentarthemaZchn">
    <w:name w:val="Kommentarthema Zchn"/>
    <w:basedOn w:val="KommentartextZchn"/>
    <w:link w:val="Kommentarthema"/>
    <w:uiPriority w:val="99"/>
    <w:semiHidden/>
    <w:rsid w:val="00116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3421</Words>
  <Characters>21556</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Honka, Sibylle (HKM)</dc:creator>
  <cp:lastModifiedBy>Behrens, Jana (MBWK)</cp:lastModifiedBy>
  <cp:revision>3</cp:revision>
  <cp:lastPrinted>2021-03-16T13:35:00Z</cp:lastPrinted>
  <dcterms:created xsi:type="dcterms:W3CDTF">2021-03-16T20:42:00Z</dcterms:created>
  <dcterms:modified xsi:type="dcterms:W3CDTF">2021-03-17T17:37:00Z</dcterms:modified>
</cp:coreProperties>
</file>